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3CB4D94" w:rsidR="00A209D6" w:rsidRPr="00B266B0" w:rsidRDefault="00A209D6" w:rsidP="27E18494">
      <w:pPr>
        <w:pStyle w:val="Header"/>
        <w:tabs>
          <w:tab w:val="right" w:pos="9639"/>
        </w:tabs>
        <w:rPr>
          <w:noProof w:val="0"/>
          <w:sz w:val="24"/>
          <w:szCs w:val="24"/>
        </w:rPr>
      </w:pPr>
      <w:r w:rsidRPr="27E18494">
        <w:rPr>
          <w:noProof w:val="0"/>
          <w:sz w:val="24"/>
          <w:szCs w:val="24"/>
        </w:rPr>
        <w:t>3GPP TSG-RAN WG2 Meeting #</w:t>
      </w:r>
      <w:r w:rsidR="0036459E" w:rsidRPr="27E18494">
        <w:rPr>
          <w:noProof w:val="0"/>
          <w:sz w:val="24"/>
          <w:szCs w:val="24"/>
        </w:rPr>
        <w:t>1</w:t>
      </w:r>
      <w:r w:rsidR="008B54E8" w:rsidRPr="27E18494">
        <w:rPr>
          <w:noProof w:val="0"/>
          <w:sz w:val="24"/>
          <w:szCs w:val="24"/>
        </w:rPr>
        <w:t>2</w:t>
      </w:r>
      <w:r w:rsidR="00A02CAE" w:rsidRPr="27E18494">
        <w:rPr>
          <w:noProof w:val="0"/>
          <w:sz w:val="24"/>
          <w:szCs w:val="24"/>
        </w:rPr>
        <w:t>2</w:t>
      </w:r>
      <w:r>
        <w:tab/>
      </w:r>
      <w:r w:rsidRPr="27E18494">
        <w:rPr>
          <w:noProof w:val="0"/>
          <w:sz w:val="24"/>
          <w:szCs w:val="24"/>
        </w:rPr>
        <w:t>R2-</w:t>
      </w:r>
      <w:r w:rsidR="00A02CAE" w:rsidRPr="27E18494">
        <w:rPr>
          <w:noProof w:val="0"/>
          <w:sz w:val="24"/>
          <w:szCs w:val="24"/>
        </w:rPr>
        <w:t>230</w:t>
      </w:r>
      <w:r w:rsidR="12032CB2" w:rsidRPr="27E18494">
        <w:rPr>
          <w:noProof w:val="0"/>
          <w:sz w:val="24"/>
          <w:szCs w:val="24"/>
        </w:rPr>
        <w:t>5055</w:t>
      </w:r>
    </w:p>
    <w:p w14:paraId="11776FA6" w14:textId="57D5B6EB" w:rsidR="00A209D6" w:rsidRPr="00465587" w:rsidRDefault="00A02CAE" w:rsidP="00A209D6">
      <w:pPr>
        <w:pStyle w:val="Header"/>
        <w:tabs>
          <w:tab w:val="right" w:pos="9639"/>
        </w:tabs>
        <w:rPr>
          <w:rFonts w:eastAsia="SimSun"/>
          <w:bCs/>
          <w:sz w:val="24"/>
          <w:szCs w:val="24"/>
          <w:lang w:eastAsia="zh-CN"/>
        </w:rPr>
      </w:pPr>
      <w:r w:rsidRPr="00F43286">
        <w:rPr>
          <w:rFonts w:eastAsia="SimSun"/>
          <w:bCs/>
          <w:sz w:val="24"/>
          <w:szCs w:val="24"/>
          <w:lang w:eastAsia="zh-CN"/>
        </w:rPr>
        <w:t>Incheon, South Korea, 22</w:t>
      </w:r>
      <w:r>
        <w:rPr>
          <w:rFonts w:eastAsia="SimSun"/>
          <w:bCs/>
          <w:sz w:val="24"/>
          <w:szCs w:val="24"/>
          <w:lang w:eastAsia="zh-CN"/>
        </w:rPr>
        <w:t xml:space="preserve"> </w:t>
      </w:r>
      <w:r w:rsidRPr="00F43286">
        <w:rPr>
          <w:rFonts w:eastAsia="SimSun"/>
          <w:bCs/>
          <w:sz w:val="24"/>
          <w:szCs w:val="24"/>
          <w:lang w:eastAsia="zh-CN"/>
        </w:rPr>
        <w:t>– 26 May 2023</w:t>
      </w:r>
      <w:r w:rsidR="00A209D6">
        <w:rPr>
          <w:rFonts w:eastAsia="SimSun"/>
          <w:noProof w:val="0"/>
          <w:sz w:val="24"/>
          <w:szCs w:val="24"/>
          <w:lang w:eastAsia="zh-CN"/>
        </w:rPr>
        <w:tab/>
      </w:r>
    </w:p>
    <w:p w14:paraId="2E02E5F5" w14:textId="724AA2A2"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CBFBFE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0BDA">
        <w:rPr>
          <w:rFonts w:cs="Arial"/>
          <w:b/>
          <w:bCs/>
          <w:sz w:val="24"/>
        </w:rPr>
        <w:t>7.12</w:t>
      </w:r>
      <w:r>
        <w:rPr>
          <w:rFonts w:cs="Arial"/>
          <w:b/>
          <w:bCs/>
          <w:sz w:val="24"/>
          <w:lang w:eastAsia="ja-JP"/>
        </w:rPr>
        <w:t>.</w:t>
      </w:r>
      <w:r w:rsidR="00AC0BDA">
        <w:rPr>
          <w:rFonts w:cs="Arial"/>
          <w:b/>
          <w:bCs/>
          <w:sz w:val="24"/>
          <w:lang w:eastAsia="ja-JP"/>
        </w:rPr>
        <w:t>3</w:t>
      </w:r>
    </w:p>
    <w:p w14:paraId="73188B46" w14:textId="3EFCD82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B4940A6" w:rsidR="00446C3A" w:rsidRDefault="00446C3A" w:rsidP="14D2F713">
      <w:pPr>
        <w:ind w:left="1985" w:hanging="1985"/>
        <w:rPr>
          <w:rFonts w:ascii="Arial" w:hAnsi="Arial" w:cs="Arial"/>
          <w:b/>
          <w:bCs/>
          <w:sz w:val="24"/>
          <w:szCs w:val="24"/>
        </w:rPr>
      </w:pPr>
      <w:r w:rsidRPr="14D2F713">
        <w:rPr>
          <w:rFonts w:ascii="Arial" w:hAnsi="Arial" w:cs="Arial"/>
          <w:b/>
          <w:bCs/>
          <w:sz w:val="24"/>
          <w:szCs w:val="24"/>
        </w:rPr>
        <w:t>Title:</w:t>
      </w:r>
      <w:r>
        <w:tab/>
      </w:r>
      <w:r w:rsidR="00AC0BDA" w:rsidRPr="14D2F713">
        <w:rPr>
          <w:rFonts w:ascii="Arial" w:hAnsi="Arial" w:cs="Arial"/>
          <w:b/>
          <w:bCs/>
          <w:sz w:val="24"/>
          <w:szCs w:val="24"/>
        </w:rPr>
        <w:t xml:space="preserve">Mobile IAB </w:t>
      </w:r>
      <w:r w:rsidR="0BF979A6" w:rsidRPr="14D2F713">
        <w:rPr>
          <w:rFonts w:ascii="Arial" w:hAnsi="Arial" w:cs="Arial"/>
          <w:b/>
          <w:bCs/>
          <w:sz w:val="24"/>
          <w:szCs w:val="24"/>
        </w:rPr>
        <w:t>BAP configuration issues</w:t>
      </w:r>
    </w:p>
    <w:p w14:paraId="25F387E8" w14:textId="13E687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C0BDA" w:rsidRPr="00AC0BDA">
        <w:rPr>
          <w:rFonts w:ascii="Arial" w:hAnsi="Arial" w:cs="Arial"/>
          <w:b/>
          <w:bCs/>
          <w:sz w:val="24"/>
        </w:rPr>
        <w:t>NR_mobile_IAB</w:t>
      </w:r>
      <w:proofErr w:type="spellEnd"/>
      <w:r w:rsidR="00AC0BDA" w:rsidRPr="00AC0BDA">
        <w:rPr>
          <w:rFonts w:ascii="Arial" w:hAnsi="Arial" w:cs="Arial"/>
          <w:b/>
          <w:bCs/>
          <w:sz w:val="24"/>
        </w:rPr>
        <w:t>-Core - Release 18</w:t>
      </w:r>
    </w:p>
    <w:p w14:paraId="6FEB19D6" w14:textId="601D8F09"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253B468" w:rsidR="00A209D6" w:rsidRPr="006E13D1" w:rsidRDefault="00A209D6" w:rsidP="00A209D6">
      <w:pPr>
        <w:pStyle w:val="Heading1"/>
      </w:pPr>
      <w:r w:rsidRPr="006E13D1">
        <w:t>1</w:t>
      </w:r>
      <w:r w:rsidRPr="006E13D1">
        <w:tab/>
      </w:r>
      <w:r>
        <w:t>Introduction</w:t>
      </w:r>
    </w:p>
    <w:p w14:paraId="6BE934CB" w14:textId="18D10548" w:rsidR="00AC0BDA" w:rsidRDefault="00AC0BDA" w:rsidP="00AC0BDA">
      <w:r>
        <w:t>In RAN2#12</w:t>
      </w:r>
      <w:r w:rsidR="00456449">
        <w:t>1</w:t>
      </w:r>
      <w:r>
        <w:t xml:space="preserve">, the following </w:t>
      </w:r>
      <w:r w:rsidR="00456449">
        <w:t>agreements were reached</w:t>
      </w:r>
      <w:r>
        <w:t xml:space="preserve"> </w:t>
      </w:r>
      <w:r w:rsidR="00456449">
        <w:t>related to BAP configuration during mobile IAB migration</w:t>
      </w:r>
      <w:r>
        <w:t>:</w:t>
      </w:r>
    </w:p>
    <w:p w14:paraId="2DD3E706" w14:textId="6E342842" w:rsidR="00456449" w:rsidRPr="00456449" w:rsidRDefault="00456449" w:rsidP="00AC0BDA">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Pr>
          <w:rFonts w:ascii="Arial" w:hAnsi="Arial" w:cs="Arial"/>
          <w:b/>
          <w:bCs/>
        </w:rPr>
        <w:t>For the upstream data handling at the BAP of mobile IAB MT, one common default BAP configuration to be used by both logical DUs is the baseline. RAN2 to further discuss the need of using logical-DU-specific default BAP configuration (</w:t>
      </w:r>
      <w:proofErr w:type="gramStart"/>
      <w:r>
        <w:rPr>
          <w:rFonts w:ascii="Arial" w:hAnsi="Arial" w:cs="Arial"/>
          <w:b/>
          <w:bCs/>
        </w:rPr>
        <w:t>e.g.</w:t>
      </w:r>
      <w:proofErr w:type="gramEnd"/>
      <w:r>
        <w:rPr>
          <w:rFonts w:ascii="Arial" w:hAnsi="Arial" w:cs="Arial"/>
          <w:b/>
          <w:bCs/>
        </w:rPr>
        <w:t xml:space="preserve"> when the two logical DUs use different donor-DUs).</w:t>
      </w:r>
    </w:p>
    <w:p w14:paraId="6C9B3772" w14:textId="15882145" w:rsidR="00AC0BDA" w:rsidRPr="00456449" w:rsidRDefault="00456449" w:rsidP="00AC0BDA">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Pr>
          <w:rFonts w:ascii="Arial" w:hAnsi="Arial" w:cs="Arial"/>
          <w:b/>
          <w:bCs/>
        </w:rPr>
        <w:t>For the upstream data handling at the BAP of mobile IAB MT, RAN2 assume that the F1AP BAP configuration for each logical DU should be configured/controlled by the DU’s respective donor-CU via the corresponding F1AP connection (To be confirmed by RAN3).</w:t>
      </w:r>
    </w:p>
    <w:p w14:paraId="46873B1D" w14:textId="2DDAFB4F" w:rsidR="00456449" w:rsidRPr="009F33BC" w:rsidRDefault="00456449" w:rsidP="00AC0BDA">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Pr>
          <w:rFonts w:ascii="Arial" w:hAnsi="Arial" w:cs="Arial"/>
          <w:b/>
          <w:bCs/>
        </w:rPr>
        <w:t>For the downstream data handling arriving at the mobile IAB node, RAN2 assume upper layers (</w:t>
      </w:r>
      <w:proofErr w:type="gramStart"/>
      <w:r>
        <w:rPr>
          <w:rFonts w:ascii="Arial" w:hAnsi="Arial" w:cs="Arial"/>
          <w:b/>
          <w:bCs/>
        </w:rPr>
        <w:t>e.g.</w:t>
      </w:r>
      <w:proofErr w:type="gramEnd"/>
      <w:r>
        <w:rPr>
          <w:rFonts w:ascii="Arial" w:hAnsi="Arial" w:cs="Arial"/>
          <w:b/>
          <w:bCs/>
        </w:rPr>
        <w:t xml:space="preserve"> IP layer) can differentiate the data to different logical DUs based on e.g. the IP address, i.e. no need to introduce logical-DU-specific BAP address. (To be confirmed by RAN3).</w:t>
      </w:r>
    </w:p>
    <w:p w14:paraId="19AAF93E" w14:textId="6BE79670" w:rsidR="00AC0BDA" w:rsidRDefault="00AC0BDA" w:rsidP="00AC0BDA">
      <w:pPr>
        <w:spacing w:after="0"/>
      </w:pPr>
    </w:p>
    <w:p w14:paraId="4854EE57" w14:textId="2B20D762" w:rsidR="009339CB" w:rsidRDefault="00456449" w:rsidP="009339CB">
      <w:r>
        <w:t>In this contribution we discuss whether logical-DU-specific default BAP configuration is necessary or if one common default BAP configuration is sufficient</w:t>
      </w:r>
      <w:r w:rsidR="009339CB">
        <w:t>.</w:t>
      </w:r>
    </w:p>
    <w:p w14:paraId="7D484B6E" w14:textId="11208273" w:rsidR="009339CB" w:rsidRPr="006E13D1" w:rsidRDefault="009339CB" w:rsidP="009339CB">
      <w:pPr>
        <w:pStyle w:val="Heading1"/>
      </w:pPr>
      <w:r w:rsidRPr="006E13D1">
        <w:t>2</w:t>
      </w:r>
      <w:r w:rsidRPr="006E13D1">
        <w:tab/>
      </w:r>
      <w:r w:rsidR="00456449">
        <w:t>Discussion</w:t>
      </w:r>
    </w:p>
    <w:p w14:paraId="5982B445" w14:textId="719E4FFF" w:rsidR="009339CB" w:rsidRPr="006E13D1" w:rsidRDefault="009339CB" w:rsidP="009339CB">
      <w:pPr>
        <w:pStyle w:val="Heading2"/>
      </w:pPr>
      <w:r>
        <w:t>2</w:t>
      </w:r>
      <w:r w:rsidRPr="006E13D1">
        <w:t>.1</w:t>
      </w:r>
      <w:r w:rsidRPr="006E13D1">
        <w:tab/>
      </w:r>
      <w:r w:rsidR="00456449">
        <w:t xml:space="preserve">Default BAP configuration </w:t>
      </w:r>
      <w:r w:rsidR="0037604C">
        <w:t>for logical</w:t>
      </w:r>
      <w:r w:rsidR="00456449">
        <w:t xml:space="preserve"> DU</w:t>
      </w:r>
      <w:r w:rsidR="0037604C">
        <w:t>s</w:t>
      </w:r>
    </w:p>
    <w:p w14:paraId="314CC822" w14:textId="67DD42A5" w:rsidR="00080572" w:rsidRDefault="00EA474D" w:rsidP="009339CB">
      <w:r>
        <w:t xml:space="preserve">During </w:t>
      </w:r>
      <w:r w:rsidRPr="0056205F">
        <w:t xml:space="preserve">discussion </w:t>
      </w:r>
      <w:hyperlink r:id="rId12" w:history="1">
        <w:r w:rsidRPr="0056205F">
          <w:rPr>
            <w:rStyle w:val="Hyperlink"/>
          </w:rPr>
          <w:t>R2-2300360</w:t>
        </w:r>
      </w:hyperlink>
      <w:r>
        <w:t xml:space="preserve"> (“BAP </w:t>
      </w:r>
      <w:r w:rsidRPr="00EA474D">
        <w:t>open issues due to the DU migration (two logical DUs) in mobile IAB</w:t>
      </w:r>
      <w:r>
        <w:t xml:space="preserve">”) </w:t>
      </w:r>
      <w:r w:rsidR="00390BDB">
        <w:t xml:space="preserve">most </w:t>
      </w:r>
      <w:r>
        <w:t xml:space="preserve">companies </w:t>
      </w:r>
      <w:r w:rsidR="00390BDB">
        <w:t xml:space="preserve">expressed the view that the default </w:t>
      </w:r>
      <w:r>
        <w:t xml:space="preserve">upstream BAP configuration provided </w:t>
      </w:r>
      <w:r w:rsidR="00390BDB">
        <w:t xml:space="preserve">to the IAB-MT </w:t>
      </w:r>
      <w:r>
        <w:t xml:space="preserve">by RRC </w:t>
      </w:r>
      <w:r w:rsidR="00390BDB">
        <w:t xml:space="preserve">configuration </w:t>
      </w:r>
      <w:r>
        <w:t>(</w:t>
      </w:r>
      <w:proofErr w:type="spellStart"/>
      <w:r>
        <w:rPr>
          <w:i/>
          <w:iCs/>
          <w:lang w:val="en-US" w:eastAsia="en-GB"/>
        </w:rPr>
        <w:t>defaultUL</w:t>
      </w:r>
      <w:proofErr w:type="spellEnd"/>
      <w:r>
        <w:rPr>
          <w:i/>
          <w:iCs/>
          <w:lang w:val="en-US" w:eastAsia="en-GB"/>
        </w:rPr>
        <w:t>-BAP-</w:t>
      </w:r>
      <w:proofErr w:type="spellStart"/>
      <w:r>
        <w:rPr>
          <w:i/>
          <w:iCs/>
          <w:lang w:val="en-US" w:eastAsia="en-GB"/>
        </w:rPr>
        <w:t>RoutingID</w:t>
      </w:r>
      <w:proofErr w:type="spellEnd"/>
      <w:r>
        <w:rPr>
          <w:i/>
          <w:iCs/>
          <w:lang w:val="en-US" w:eastAsia="en-GB"/>
        </w:rPr>
        <w:t xml:space="preserve"> and </w:t>
      </w:r>
      <w:proofErr w:type="spellStart"/>
      <w:r>
        <w:rPr>
          <w:i/>
          <w:iCs/>
          <w:lang w:val="en-US" w:eastAsia="en-GB"/>
        </w:rPr>
        <w:t>defaultUL</w:t>
      </w:r>
      <w:proofErr w:type="spellEnd"/>
      <w:r>
        <w:rPr>
          <w:i/>
          <w:iCs/>
          <w:lang w:val="en-US" w:eastAsia="en-GB"/>
        </w:rPr>
        <w:t>-BH-RLC-Channel</w:t>
      </w:r>
      <w:r>
        <w:t xml:space="preserve">) </w:t>
      </w:r>
      <w:r w:rsidR="00390BDB">
        <w:t xml:space="preserve">was sufficient for both logical DUs at the mobile IAB node (i.e. it could be treated as a configuration common to both logical DUs). </w:t>
      </w:r>
      <w:r w:rsidR="00080572">
        <w:t>This assumption was agreed to be taken as the baseline.</w:t>
      </w:r>
    </w:p>
    <w:p w14:paraId="2555BF0F" w14:textId="5B13BBBF" w:rsidR="00641661" w:rsidRDefault="00A470AA" w:rsidP="009339CB">
      <w:r w:rsidRPr="0056205F">
        <w:t xml:space="preserve">However, </w:t>
      </w:r>
      <w:r w:rsidR="00080572" w:rsidRPr="0056205F">
        <w:t>in R2-2300360,</w:t>
      </w:r>
      <w:r w:rsidR="00080572">
        <w:t xml:space="preserve"> there were several motivations mentioned for why it </w:t>
      </w:r>
      <w:r w:rsidR="00080572" w:rsidRPr="00080572">
        <w:t>might be necessary (or at least beneficial) for the logical DUs to be configured with different default BAP configurations from different donor-CUs.</w:t>
      </w:r>
      <w:r w:rsidR="00386B39">
        <w:t xml:space="preserve"> W</w:t>
      </w:r>
      <w:r w:rsidR="00386B39" w:rsidRPr="00080572">
        <w:t xml:space="preserve">e discuss </w:t>
      </w:r>
      <w:r w:rsidR="009B31E3" w:rsidRPr="00080572">
        <w:t>th</w:t>
      </w:r>
      <w:r w:rsidR="009B31E3">
        <w:t>e</w:t>
      </w:r>
      <w:r w:rsidR="009B31E3" w:rsidRPr="00080572">
        <w:t xml:space="preserve">se </w:t>
      </w:r>
      <w:r w:rsidR="00386B39">
        <w:t>motivations</w:t>
      </w:r>
      <w:r w:rsidR="00386B39" w:rsidRPr="00080572">
        <w:t xml:space="preserve"> further</w:t>
      </w:r>
      <w:r w:rsidR="00386B39">
        <w:t xml:space="preserve">. </w:t>
      </w:r>
    </w:p>
    <w:p w14:paraId="24673446" w14:textId="5534CA43" w:rsidR="00293DC5" w:rsidRDefault="009B31E3" w:rsidP="00D6606E">
      <w:pPr>
        <w:jc w:val="center"/>
      </w:pPr>
      <w:r w:rsidRPr="0056205F">
        <w:rPr>
          <w:noProof/>
        </w:rPr>
        <w:lastRenderedPageBreak/>
        <mc:AlternateContent>
          <mc:Choice Requires="wps">
            <w:drawing>
              <wp:anchor distT="45720" distB="45720" distL="114300" distR="114300" simplePos="0" relativeHeight="251659264" behindDoc="0" locked="0" layoutInCell="1" allowOverlap="1" wp14:anchorId="0ED271B3" wp14:editId="57E10A48">
                <wp:simplePos x="0" y="0"/>
                <wp:positionH relativeFrom="margin">
                  <wp:align>right</wp:align>
                </wp:positionH>
                <wp:positionV relativeFrom="paragraph">
                  <wp:posOffset>0</wp:posOffset>
                </wp:positionV>
                <wp:extent cx="5906770" cy="2548255"/>
                <wp:effectExtent l="0" t="0" r="17780" b="234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770" cy="2548255"/>
                        </a:xfrm>
                        <a:prstGeom prst="rect">
                          <a:avLst/>
                        </a:prstGeom>
                        <a:solidFill>
                          <a:srgbClr val="FFFFFF"/>
                        </a:solidFill>
                        <a:ln w="9525">
                          <a:solidFill>
                            <a:srgbClr val="000000"/>
                          </a:solidFill>
                          <a:miter lim="800000"/>
                          <a:headEnd/>
                          <a:tailEnd/>
                        </a:ln>
                      </wps:spPr>
                      <wps:txbx>
                        <w:txbxContent>
                          <w:p w14:paraId="33B4B7C3" w14:textId="3856959C" w:rsidR="00080572" w:rsidRPr="00080572" w:rsidRDefault="00080572" w:rsidP="00080572">
                            <w:pPr>
                              <w:spacing w:after="60"/>
                              <w:rPr>
                                <w:rFonts w:eastAsia="Symbol"/>
                                <w:lang w:val="en-US"/>
                              </w:rPr>
                            </w:pPr>
                            <w:r w:rsidRPr="00080572">
                              <w:rPr>
                                <w:rFonts w:eastAsia="Symbol" w:hint="eastAsia"/>
                                <w:lang w:val="en-US"/>
                              </w:rPr>
                              <w:t>T</w:t>
                            </w:r>
                            <w:r w:rsidRPr="00080572">
                              <w:rPr>
                                <w:rFonts w:eastAsia="Symbol"/>
                                <w:lang w:val="en-US"/>
                              </w:rPr>
                              <w:t xml:space="preserve">he motivation to configure </w:t>
                            </w:r>
                            <w:r w:rsidRPr="00080572">
                              <w:rPr>
                                <w:rFonts w:eastAsia="Symbol"/>
                              </w:rPr>
                              <w:t>logical DU specific default BAP configuration can be:</w:t>
                            </w:r>
                          </w:p>
                          <w:p w14:paraId="36FA9134" w14:textId="77777777" w:rsidR="00080572" w:rsidRPr="0081063A" w:rsidRDefault="00080572" w:rsidP="00080572">
                            <w:pPr>
                              <w:pStyle w:val="ListParagraph"/>
                              <w:numPr>
                                <w:ilvl w:val="0"/>
                                <w:numId w:val="10"/>
                              </w:numPr>
                              <w:spacing w:after="60"/>
                              <w:ind w:leftChars="0"/>
                              <w:rPr>
                                <w:rFonts w:eastAsia="Symbol"/>
                                <w:sz w:val="20"/>
                                <w:szCs w:val="20"/>
                                <w:lang w:val="en-US"/>
                              </w:rPr>
                            </w:pPr>
                            <w:r>
                              <w:rPr>
                                <w:rFonts w:eastAsia="Symbol"/>
                                <w:sz w:val="20"/>
                                <w:szCs w:val="20"/>
                              </w:rPr>
                              <w:t>1</w:t>
                            </w:r>
                            <w:r w:rsidRPr="0081063A">
                              <w:rPr>
                                <w:rFonts w:eastAsia="Symbol"/>
                                <w:sz w:val="20"/>
                                <w:szCs w:val="20"/>
                                <w:vertAlign w:val="superscript"/>
                              </w:rPr>
                              <w:t>st</w:t>
                            </w:r>
                            <w:r>
                              <w:rPr>
                                <w:rFonts w:eastAsia="Symbol"/>
                                <w:sz w:val="20"/>
                                <w:szCs w:val="20"/>
                              </w:rPr>
                              <w:t xml:space="preserve">: </w:t>
                            </w:r>
                            <w:r w:rsidRPr="0081063A">
                              <w:rPr>
                                <w:rFonts w:eastAsia="Symbol"/>
                                <w:sz w:val="20"/>
                                <w:szCs w:val="20"/>
                              </w:rPr>
                              <w:t>To somehow speed up/give high priority to the F1 setup of the target logical DU.</w:t>
                            </w:r>
                          </w:p>
                          <w:p w14:paraId="45A1434E" w14:textId="77777777" w:rsidR="00080572" w:rsidRDefault="00080572" w:rsidP="00080572">
                            <w:pPr>
                              <w:pStyle w:val="ListParagraph"/>
                              <w:numPr>
                                <w:ilvl w:val="0"/>
                                <w:numId w:val="10"/>
                              </w:numPr>
                              <w:spacing w:after="60"/>
                              <w:ind w:leftChars="0"/>
                              <w:rPr>
                                <w:rFonts w:eastAsia="Symbol"/>
                                <w:sz w:val="20"/>
                                <w:szCs w:val="20"/>
                              </w:rPr>
                            </w:pPr>
                            <w:r>
                              <w:rPr>
                                <w:rFonts w:eastAsia="Symbol"/>
                                <w:sz w:val="20"/>
                                <w:szCs w:val="20"/>
                              </w:rPr>
                              <w:t>2</w:t>
                            </w:r>
                            <w:r w:rsidRPr="0081063A">
                              <w:rPr>
                                <w:rFonts w:eastAsia="Symbol"/>
                                <w:sz w:val="20"/>
                                <w:szCs w:val="20"/>
                                <w:vertAlign w:val="superscript"/>
                              </w:rPr>
                              <w:t>nd</w:t>
                            </w:r>
                            <w:r w:rsidRPr="0081063A">
                              <w:rPr>
                                <w:rFonts w:eastAsia="Symbol" w:hint="eastAsia"/>
                                <w:sz w:val="20"/>
                                <w:szCs w:val="20"/>
                              </w:rPr>
                              <w:t>:</w:t>
                            </w:r>
                            <w:r w:rsidRPr="0081063A">
                              <w:t xml:space="preserve"> </w:t>
                            </w:r>
                            <w:r w:rsidRPr="0081063A">
                              <w:rPr>
                                <w:rFonts w:eastAsia="Symbol"/>
                                <w:sz w:val="20"/>
                                <w:szCs w:val="20"/>
                              </w:rPr>
                              <w:t xml:space="preserve">To configure different routing </w:t>
                            </w:r>
                            <w:proofErr w:type="gramStart"/>
                            <w:r w:rsidRPr="0081063A">
                              <w:rPr>
                                <w:rFonts w:eastAsia="Symbol"/>
                                <w:sz w:val="20"/>
                                <w:szCs w:val="20"/>
                              </w:rPr>
                              <w:t>path, if</w:t>
                            </w:r>
                            <w:proofErr w:type="gramEnd"/>
                            <w:r w:rsidRPr="0081063A">
                              <w:rPr>
                                <w:rFonts w:eastAsia="Symbol"/>
                                <w:sz w:val="20"/>
                                <w:szCs w:val="20"/>
                              </w:rPr>
                              <w:t xml:space="preserve"> there are intermediate nodes between donor DU and migrating node.</w:t>
                            </w:r>
                          </w:p>
                          <w:p w14:paraId="569FED89" w14:textId="77777777" w:rsidR="00080572" w:rsidRDefault="00080572" w:rsidP="00080572">
                            <w:pPr>
                              <w:pStyle w:val="ListParagraph"/>
                              <w:numPr>
                                <w:ilvl w:val="0"/>
                                <w:numId w:val="10"/>
                              </w:numPr>
                              <w:spacing w:after="60"/>
                              <w:ind w:leftChars="0"/>
                              <w:rPr>
                                <w:rFonts w:eastAsia="Symbol"/>
                                <w:sz w:val="20"/>
                                <w:szCs w:val="20"/>
                              </w:rPr>
                            </w:pPr>
                            <w:r>
                              <w:rPr>
                                <w:rFonts w:eastAsia="Symbol"/>
                                <w:sz w:val="20"/>
                                <w:szCs w:val="20"/>
                              </w:rPr>
                              <w:t>3</w:t>
                            </w:r>
                            <w:r w:rsidRPr="0081063A">
                              <w:rPr>
                                <w:rFonts w:eastAsia="Symbol"/>
                                <w:sz w:val="20"/>
                                <w:szCs w:val="20"/>
                                <w:vertAlign w:val="superscript"/>
                              </w:rPr>
                              <w:t>rd</w:t>
                            </w:r>
                            <w:r>
                              <w:rPr>
                                <w:rFonts w:eastAsia="Symbol"/>
                                <w:sz w:val="20"/>
                                <w:szCs w:val="20"/>
                              </w:rPr>
                              <w:t>:</w:t>
                            </w:r>
                            <w:r w:rsidRPr="0081063A">
                              <w:t xml:space="preserve"> </w:t>
                            </w:r>
                            <w:r w:rsidRPr="0081063A">
                              <w:rPr>
                                <w:rFonts w:eastAsia="Symbol"/>
                                <w:sz w:val="20"/>
                                <w:szCs w:val="20"/>
                              </w:rPr>
                              <w:t xml:space="preserve">To consider the RAN3 WA scenario “WA: The </w:t>
                            </w:r>
                            <w:proofErr w:type="spellStart"/>
                            <w:r w:rsidRPr="0081063A">
                              <w:rPr>
                                <w:rFonts w:eastAsia="Symbol"/>
                                <w:sz w:val="20"/>
                                <w:szCs w:val="20"/>
                              </w:rPr>
                              <w:t>mIAB</w:t>
                            </w:r>
                            <w:proofErr w:type="spellEnd"/>
                            <w:r w:rsidRPr="0081063A">
                              <w:rPr>
                                <w:rFonts w:eastAsia="Symbol"/>
                                <w:sz w:val="20"/>
                                <w:szCs w:val="20"/>
                              </w:rPr>
                              <w:t xml:space="preserve">-MT and its co-located </w:t>
                            </w:r>
                            <w:proofErr w:type="spellStart"/>
                            <w:r w:rsidRPr="0081063A">
                              <w:rPr>
                                <w:rFonts w:eastAsia="Symbol"/>
                                <w:sz w:val="20"/>
                                <w:szCs w:val="20"/>
                              </w:rPr>
                              <w:t>mIAB</w:t>
                            </w:r>
                            <w:proofErr w:type="spellEnd"/>
                            <w:r w:rsidRPr="0081063A">
                              <w:rPr>
                                <w:rFonts w:eastAsia="Symbol"/>
                                <w:sz w:val="20"/>
                                <w:szCs w:val="20"/>
                              </w:rPr>
                              <w:t>-DU can be handed over/migrated to different donor CUs.”</w:t>
                            </w:r>
                          </w:p>
                          <w:p w14:paraId="683D566F" w14:textId="63BEA0DE" w:rsidR="00080572" w:rsidRPr="00AD610D" w:rsidRDefault="00080572" w:rsidP="000949CF">
                            <w:pPr>
                              <w:pStyle w:val="ListParagraph"/>
                              <w:numPr>
                                <w:ilvl w:val="1"/>
                                <w:numId w:val="10"/>
                              </w:numPr>
                              <w:spacing w:after="60"/>
                              <w:ind w:leftChars="0"/>
                              <w:rPr>
                                <w:rFonts w:eastAsia="Symbol"/>
                                <w:sz w:val="20"/>
                                <w:szCs w:val="20"/>
                              </w:rPr>
                            </w:pPr>
                            <w:r w:rsidRPr="00AD610D">
                              <w:rPr>
                                <w:rFonts w:eastAsia="Symbol"/>
                                <w:sz w:val="20"/>
                                <w:szCs w:val="20"/>
                              </w:rPr>
                              <w:t xml:space="preserve">For example, in the following figure, given there are some intermediate stationary nodes, if the donor CU1 and donor CU3 are in two different IP domains, the CU2 </w:t>
                            </w:r>
                            <w:proofErr w:type="gramStart"/>
                            <w:r w:rsidRPr="00AD610D">
                              <w:rPr>
                                <w:rFonts w:eastAsia="Symbol"/>
                                <w:sz w:val="20"/>
                                <w:szCs w:val="20"/>
                              </w:rPr>
                              <w:t>has to</w:t>
                            </w:r>
                            <w:proofErr w:type="gramEnd"/>
                            <w:r w:rsidRPr="00AD610D">
                              <w:rPr>
                                <w:rFonts w:eastAsia="Symbol"/>
                                <w:sz w:val="20"/>
                                <w:szCs w:val="20"/>
                              </w:rPr>
                              <w:t xml:space="preserve"> configure two different donor DUs (e.g., donor DU2a and donor DU2b), which belongs to the IP domains of donor CU1 and donor CU3, respectively. In this sense, logical-DU-specific default BAP configuration is a necessary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D271B3" id="_x0000_t202" coordsize="21600,21600" o:spt="202" path="m,l,21600r21600,l21600,xe">
                <v:stroke joinstyle="miter"/>
                <v:path gradientshapeok="t" o:connecttype="rect"/>
              </v:shapetype>
              <v:shape id="Text Box 2" o:spid="_x0000_s1026" type="#_x0000_t202" style="position:absolute;left:0;text-align:left;margin-left:413.9pt;margin-top:0;width:465.1pt;height:200.6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">
                <v:textbox style="mso-fit-shape-to-text:t">
                  <w:txbxContent>
                    <w:p w14:paraId="33B4B7C3" w14:textId="3856959C" w:rsidR="00080572" w:rsidRPr="00080572" w:rsidRDefault="00080572" w:rsidP="00080572">
                      <w:pPr>
                        <w:spacing w:after="60"/>
                        <w:rPr>
                          <w:rFonts w:eastAsia="Symbol"/>
                          <w:lang w:val="en-US"/>
                        </w:rPr>
                      </w:pPr>
                      <w:r w:rsidRPr="00080572">
                        <w:rPr>
                          <w:rFonts w:eastAsia="Symbol" w:hint="eastAsia"/>
                          <w:lang w:val="en-US"/>
                        </w:rPr>
                        <w:t>T</w:t>
                      </w:r>
                      <w:r w:rsidRPr="00080572">
                        <w:rPr>
                          <w:rFonts w:eastAsia="Symbol"/>
                          <w:lang w:val="en-US"/>
                        </w:rPr>
                        <w:t xml:space="preserve">he motivation to configure </w:t>
                      </w:r>
                      <w:r w:rsidRPr="00080572">
                        <w:rPr>
                          <w:rFonts w:eastAsia="Symbol"/>
                        </w:rPr>
                        <w:t>logical DU specific default BAP configuration can be:</w:t>
                      </w:r>
                    </w:p>
                    <w:p w14:paraId="36FA9134" w14:textId="77777777" w:rsidR="00080572" w:rsidRPr="0081063A" w:rsidRDefault="00080572" w:rsidP="00080572">
                      <w:pPr>
                        <w:pStyle w:val="ListParagraph"/>
                        <w:numPr>
                          <w:ilvl w:val="0"/>
                          <w:numId w:val="10"/>
                        </w:numPr>
                        <w:spacing w:after="60"/>
                        <w:ind w:leftChars="0"/>
                        <w:rPr>
                          <w:rFonts w:eastAsia="Symbol"/>
                          <w:sz w:val="20"/>
                          <w:szCs w:val="20"/>
                          <w:lang w:val="en-US"/>
                        </w:rPr>
                      </w:pPr>
                      <w:r>
                        <w:rPr>
                          <w:rFonts w:eastAsia="Symbol"/>
                          <w:sz w:val="20"/>
                          <w:szCs w:val="20"/>
                        </w:rPr>
                        <w:t>1</w:t>
                      </w:r>
                      <w:r w:rsidRPr="0081063A">
                        <w:rPr>
                          <w:rFonts w:eastAsia="Symbol"/>
                          <w:sz w:val="20"/>
                          <w:szCs w:val="20"/>
                          <w:vertAlign w:val="superscript"/>
                        </w:rPr>
                        <w:t>st</w:t>
                      </w:r>
                      <w:r>
                        <w:rPr>
                          <w:rFonts w:eastAsia="Symbol"/>
                          <w:sz w:val="20"/>
                          <w:szCs w:val="20"/>
                        </w:rPr>
                        <w:t xml:space="preserve">: </w:t>
                      </w:r>
                      <w:r w:rsidRPr="0081063A">
                        <w:rPr>
                          <w:rFonts w:eastAsia="Symbol"/>
                          <w:sz w:val="20"/>
                          <w:szCs w:val="20"/>
                        </w:rPr>
                        <w:t>To somehow speed up/give high priority to the F1 setup of the target logical DU.</w:t>
                      </w:r>
                    </w:p>
                    <w:p w14:paraId="45A1434E" w14:textId="77777777" w:rsidR="00080572" w:rsidRDefault="00080572" w:rsidP="00080572">
                      <w:pPr>
                        <w:pStyle w:val="ListParagraph"/>
                        <w:numPr>
                          <w:ilvl w:val="0"/>
                          <w:numId w:val="10"/>
                        </w:numPr>
                        <w:spacing w:after="60"/>
                        <w:ind w:leftChars="0"/>
                        <w:rPr>
                          <w:rFonts w:eastAsia="Symbol"/>
                          <w:sz w:val="20"/>
                          <w:szCs w:val="20"/>
                        </w:rPr>
                      </w:pPr>
                      <w:r>
                        <w:rPr>
                          <w:rFonts w:eastAsia="Symbol"/>
                          <w:sz w:val="20"/>
                          <w:szCs w:val="20"/>
                        </w:rPr>
                        <w:t>2</w:t>
                      </w:r>
                      <w:r w:rsidRPr="0081063A">
                        <w:rPr>
                          <w:rFonts w:eastAsia="Symbol"/>
                          <w:sz w:val="20"/>
                          <w:szCs w:val="20"/>
                          <w:vertAlign w:val="superscript"/>
                        </w:rPr>
                        <w:t>nd</w:t>
                      </w:r>
                      <w:r w:rsidRPr="0081063A">
                        <w:rPr>
                          <w:rFonts w:eastAsia="Symbol" w:hint="eastAsia"/>
                          <w:sz w:val="20"/>
                          <w:szCs w:val="20"/>
                        </w:rPr>
                        <w:t>:</w:t>
                      </w:r>
                      <w:r w:rsidRPr="0081063A">
                        <w:t xml:space="preserve"> </w:t>
                      </w:r>
                      <w:r w:rsidRPr="0081063A">
                        <w:rPr>
                          <w:rFonts w:eastAsia="Symbol"/>
                          <w:sz w:val="20"/>
                          <w:szCs w:val="20"/>
                        </w:rPr>
                        <w:t xml:space="preserve">To configure different routing </w:t>
                      </w:r>
                      <w:proofErr w:type="gramStart"/>
                      <w:r w:rsidRPr="0081063A">
                        <w:rPr>
                          <w:rFonts w:eastAsia="Symbol"/>
                          <w:sz w:val="20"/>
                          <w:szCs w:val="20"/>
                        </w:rPr>
                        <w:t>path, if</w:t>
                      </w:r>
                      <w:proofErr w:type="gramEnd"/>
                      <w:r w:rsidRPr="0081063A">
                        <w:rPr>
                          <w:rFonts w:eastAsia="Symbol"/>
                          <w:sz w:val="20"/>
                          <w:szCs w:val="20"/>
                        </w:rPr>
                        <w:t xml:space="preserve"> there are intermediate nodes between donor DU and migrating node.</w:t>
                      </w:r>
                    </w:p>
                    <w:p w14:paraId="569FED89" w14:textId="77777777" w:rsidR="00080572" w:rsidRDefault="00080572" w:rsidP="00080572">
                      <w:pPr>
                        <w:pStyle w:val="ListParagraph"/>
                        <w:numPr>
                          <w:ilvl w:val="0"/>
                          <w:numId w:val="10"/>
                        </w:numPr>
                        <w:spacing w:after="60"/>
                        <w:ind w:leftChars="0"/>
                        <w:rPr>
                          <w:rFonts w:eastAsia="Symbol"/>
                          <w:sz w:val="20"/>
                          <w:szCs w:val="20"/>
                        </w:rPr>
                      </w:pPr>
                      <w:r>
                        <w:rPr>
                          <w:rFonts w:eastAsia="Symbol"/>
                          <w:sz w:val="20"/>
                          <w:szCs w:val="20"/>
                        </w:rPr>
                        <w:t>3</w:t>
                      </w:r>
                      <w:r w:rsidRPr="0081063A">
                        <w:rPr>
                          <w:rFonts w:eastAsia="Symbol"/>
                          <w:sz w:val="20"/>
                          <w:szCs w:val="20"/>
                          <w:vertAlign w:val="superscript"/>
                        </w:rPr>
                        <w:t>rd</w:t>
                      </w:r>
                      <w:r>
                        <w:rPr>
                          <w:rFonts w:eastAsia="Symbol"/>
                          <w:sz w:val="20"/>
                          <w:szCs w:val="20"/>
                        </w:rPr>
                        <w:t>:</w:t>
                      </w:r>
                      <w:r w:rsidRPr="0081063A">
                        <w:t xml:space="preserve"> </w:t>
                      </w:r>
                      <w:r w:rsidRPr="0081063A">
                        <w:rPr>
                          <w:rFonts w:eastAsia="Symbol"/>
                          <w:sz w:val="20"/>
                          <w:szCs w:val="20"/>
                        </w:rPr>
                        <w:t xml:space="preserve">To consider the RAN3 WA scenario “WA: The </w:t>
                      </w:r>
                      <w:proofErr w:type="spellStart"/>
                      <w:r w:rsidRPr="0081063A">
                        <w:rPr>
                          <w:rFonts w:eastAsia="Symbol"/>
                          <w:sz w:val="20"/>
                          <w:szCs w:val="20"/>
                        </w:rPr>
                        <w:t>mIAB</w:t>
                      </w:r>
                      <w:proofErr w:type="spellEnd"/>
                      <w:r w:rsidRPr="0081063A">
                        <w:rPr>
                          <w:rFonts w:eastAsia="Symbol"/>
                          <w:sz w:val="20"/>
                          <w:szCs w:val="20"/>
                        </w:rPr>
                        <w:t xml:space="preserve">-MT and its co-located </w:t>
                      </w:r>
                      <w:proofErr w:type="spellStart"/>
                      <w:r w:rsidRPr="0081063A">
                        <w:rPr>
                          <w:rFonts w:eastAsia="Symbol"/>
                          <w:sz w:val="20"/>
                          <w:szCs w:val="20"/>
                        </w:rPr>
                        <w:t>mIAB</w:t>
                      </w:r>
                      <w:proofErr w:type="spellEnd"/>
                      <w:r w:rsidRPr="0081063A">
                        <w:rPr>
                          <w:rFonts w:eastAsia="Symbol"/>
                          <w:sz w:val="20"/>
                          <w:szCs w:val="20"/>
                        </w:rPr>
                        <w:t>-DU can be handed over/migrated to different donor CUs.”</w:t>
                      </w:r>
                    </w:p>
                    <w:p w14:paraId="683D566F" w14:textId="63BEA0DE" w:rsidR="00080572" w:rsidRPr="00AD610D" w:rsidRDefault="00080572" w:rsidP="000949CF">
                      <w:pPr>
                        <w:pStyle w:val="ListParagraph"/>
                        <w:numPr>
                          <w:ilvl w:val="1"/>
                          <w:numId w:val="10"/>
                        </w:numPr>
                        <w:spacing w:after="60"/>
                        <w:ind w:leftChars="0"/>
                        <w:rPr>
                          <w:rFonts w:eastAsia="Symbol"/>
                          <w:sz w:val="20"/>
                          <w:szCs w:val="20"/>
                        </w:rPr>
                      </w:pPr>
                      <w:r w:rsidRPr="00AD610D">
                        <w:rPr>
                          <w:rFonts w:eastAsia="Symbol"/>
                          <w:sz w:val="20"/>
                          <w:szCs w:val="20"/>
                        </w:rPr>
                        <w:t xml:space="preserve">For example, in the following figure, given there are some intermediate stationary nodes, if the donor CU1 and donor CU3 are in two different IP domains, the CU2 </w:t>
                      </w:r>
                      <w:proofErr w:type="gramStart"/>
                      <w:r w:rsidRPr="00AD610D">
                        <w:rPr>
                          <w:rFonts w:eastAsia="Symbol"/>
                          <w:sz w:val="20"/>
                          <w:szCs w:val="20"/>
                        </w:rPr>
                        <w:t>has to</w:t>
                      </w:r>
                      <w:proofErr w:type="gramEnd"/>
                      <w:r w:rsidRPr="00AD610D">
                        <w:rPr>
                          <w:rFonts w:eastAsia="Symbol"/>
                          <w:sz w:val="20"/>
                          <w:szCs w:val="20"/>
                        </w:rPr>
                        <w:t xml:space="preserve"> configure two different donor DUs (e.g., donor DU2a and donor DU2b), which belongs to the IP domains of donor CU1 and donor CU3, respectively. In this sense, logical-DU-specific default BAP configuration is a necessary configuration.</w:t>
                      </w:r>
                    </w:p>
                  </w:txbxContent>
                </v:textbox>
                <w10:wrap type="topAndBottom" anchorx="margin"/>
              </v:shape>
            </w:pict>
          </mc:Fallback>
        </mc:AlternateContent>
      </w:r>
      <w:r w:rsidR="00B67F07">
        <w:rPr>
          <w:noProof/>
        </w:rPr>
        <w:drawing>
          <wp:inline distT="0" distB="0" distL="0" distR="0" wp14:anchorId="720A2628" wp14:editId="691907C4">
            <wp:extent cx="5349420" cy="2679589"/>
            <wp:effectExtent l="0" t="0" r="0" b="6985"/>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8884" cy="2694348"/>
                    </a:xfrm>
                    <a:prstGeom prst="rect">
                      <a:avLst/>
                    </a:prstGeom>
                    <a:noFill/>
                  </pic:spPr>
                </pic:pic>
              </a:graphicData>
            </a:graphic>
          </wp:inline>
        </w:drawing>
      </w:r>
    </w:p>
    <w:p w14:paraId="7F521300" w14:textId="6AA0376F" w:rsidR="00293DC5" w:rsidRPr="006E13D1" w:rsidRDefault="00293DC5" w:rsidP="00293DC5">
      <w:pPr>
        <w:pStyle w:val="TF"/>
      </w:pPr>
      <w:r w:rsidRPr="006E13D1">
        <w:t xml:space="preserve">Figure </w:t>
      </w:r>
      <w:r>
        <w:t>2.1-1</w:t>
      </w:r>
      <w:r w:rsidRPr="006E13D1">
        <w:t xml:space="preserve">: </w:t>
      </w:r>
      <w:r>
        <w:t>Mobile IAB node migration</w:t>
      </w:r>
      <w:r w:rsidR="00CF2A53">
        <w:t xml:space="preserve"> without intermediate node</w:t>
      </w:r>
    </w:p>
    <w:p w14:paraId="02FA57F5" w14:textId="77777777" w:rsidR="00B67F07" w:rsidRDefault="00293DC5" w:rsidP="00293DC5">
      <w:r>
        <w:t>Referring to Figure 2.1-1, the first motivation relates to</w:t>
      </w:r>
      <w:r w:rsidR="00641661">
        <w:t xml:space="preserve"> speed</w:t>
      </w:r>
      <w:r>
        <w:t>ing</w:t>
      </w:r>
      <w:r w:rsidR="00641661">
        <w:t xml:space="preserve"> up F1 setup </w:t>
      </w:r>
      <w:r w:rsidR="00D375BC">
        <w:t>between</w:t>
      </w:r>
      <w:r>
        <w:t xml:space="preserve"> the target logical DU (IAB-</w:t>
      </w:r>
      <w:proofErr w:type="spellStart"/>
      <w:r w:rsidR="00E95C1C">
        <w:t>DU</w:t>
      </w:r>
      <w:r>
        <w:t>b</w:t>
      </w:r>
      <w:proofErr w:type="spellEnd"/>
      <w:r>
        <w:t xml:space="preserve">) </w:t>
      </w:r>
      <w:r w:rsidR="00D375BC">
        <w:t xml:space="preserve">and target donor (CU2) </w:t>
      </w:r>
      <w:r>
        <w:t xml:space="preserve">during migration. To do so, it was suggested that logical </w:t>
      </w:r>
      <w:proofErr w:type="spellStart"/>
      <w:r w:rsidR="00E95C1C">
        <w:t>DU</w:t>
      </w:r>
      <w:r>
        <w:t>b</w:t>
      </w:r>
      <w:proofErr w:type="spellEnd"/>
      <w:r>
        <w:t xml:space="preserve"> could be preconfigured with the default BAP settings for </w:t>
      </w:r>
      <w:r w:rsidR="00641661" w:rsidRPr="00D375BC">
        <w:t>CU2</w:t>
      </w:r>
      <w:r w:rsidR="00641661">
        <w:t xml:space="preserve"> </w:t>
      </w:r>
      <w:r>
        <w:t>via RRC configuration from</w:t>
      </w:r>
      <w:r w:rsidR="00641661">
        <w:t xml:space="preserve"> CU1.</w:t>
      </w:r>
      <w:r w:rsidR="00B309AB">
        <w:t xml:space="preserve"> However, it is not clear that having a dedicated configuration for </w:t>
      </w:r>
      <w:proofErr w:type="spellStart"/>
      <w:r w:rsidR="00E95C1C">
        <w:t>DU</w:t>
      </w:r>
      <w:r w:rsidR="00B309AB">
        <w:t>b</w:t>
      </w:r>
      <w:proofErr w:type="spellEnd"/>
      <w:r w:rsidR="00B309AB">
        <w:t xml:space="preserve"> is necessary or would even speed up configuration</w:t>
      </w:r>
      <w:r w:rsidR="00D375BC">
        <w:t xml:space="preserve"> in this case.</w:t>
      </w:r>
    </w:p>
    <w:p w14:paraId="0EE66481" w14:textId="1E6749C7" w:rsidR="00B67F07" w:rsidRDefault="00D375BC" w:rsidP="00293DC5">
      <w:r>
        <w:t xml:space="preserve">In terms of BH RLC configuration, </w:t>
      </w:r>
      <w:r w:rsidR="00C626CD">
        <w:t xml:space="preserve">for non-F1-U traffic, </w:t>
      </w:r>
      <w:proofErr w:type="spellStart"/>
      <w:r w:rsidR="00E95C1C">
        <w:t>DU</w:t>
      </w:r>
      <w:r w:rsidR="00B309AB">
        <w:t>b</w:t>
      </w:r>
      <w:proofErr w:type="spellEnd"/>
      <w:r w:rsidR="00B309AB">
        <w:t xml:space="preserve"> and </w:t>
      </w:r>
      <w:proofErr w:type="spellStart"/>
      <w:r w:rsidR="00E95C1C">
        <w:t>DU</w:t>
      </w:r>
      <w:r w:rsidR="00B309AB">
        <w:t>a</w:t>
      </w:r>
      <w:proofErr w:type="spellEnd"/>
      <w:r w:rsidR="00B309AB">
        <w:t xml:space="preserve"> would already use the same BH radio link </w:t>
      </w:r>
      <w:r w:rsidR="00B309AB" w:rsidRPr="00C626CD">
        <w:t>between the mobile-IAB-MT and donor-DU1</w:t>
      </w:r>
      <w:r w:rsidRPr="00C626CD">
        <w:t xml:space="preserve"> before migration</w:t>
      </w:r>
      <w:r w:rsidR="00B67F07">
        <w:t xml:space="preserve"> (Figure 2.1-1 left)</w:t>
      </w:r>
      <w:r w:rsidR="00B309AB" w:rsidRPr="00C626CD">
        <w:t xml:space="preserve"> or </w:t>
      </w:r>
      <w:r w:rsidRPr="00C626CD">
        <w:t xml:space="preserve">between mobile-IAB-MT and </w:t>
      </w:r>
      <w:r w:rsidR="00B309AB" w:rsidRPr="00C626CD">
        <w:t>donor-DU2</w:t>
      </w:r>
      <w:r w:rsidRPr="00C626CD">
        <w:t xml:space="preserve"> after migration</w:t>
      </w:r>
      <w:r w:rsidR="00B67F07">
        <w:t xml:space="preserve"> (Figure 2.1-1 right)</w:t>
      </w:r>
      <w:r w:rsidR="007426CD">
        <w:t xml:space="preserve">; </w:t>
      </w:r>
      <w:r w:rsidR="007426CD" w:rsidRPr="00537541">
        <w:t xml:space="preserve">considering that the amount of non-F1-U traffic is </w:t>
      </w:r>
      <w:r w:rsidR="00537541">
        <w:t>relatively</w:t>
      </w:r>
      <w:r w:rsidR="007426CD" w:rsidRPr="00537541">
        <w:t xml:space="preserve"> low</w:t>
      </w:r>
      <w:r w:rsidR="009B31E3">
        <w:t>,</w:t>
      </w:r>
      <w:r>
        <w:t xml:space="preserve"> it is not clear </w:t>
      </w:r>
      <w:r w:rsidR="007426CD">
        <w:t xml:space="preserve">why a dedicated BH RLC configuration for F1-C is needed for </w:t>
      </w:r>
      <w:proofErr w:type="spellStart"/>
      <w:r w:rsidR="00E95C1C">
        <w:t>DU</w:t>
      </w:r>
      <w:r w:rsidR="007426CD">
        <w:t>b</w:t>
      </w:r>
      <w:proofErr w:type="spellEnd"/>
      <w:r w:rsidR="007426CD">
        <w:t xml:space="preserve"> or even whether a dedicated configuration would </w:t>
      </w:r>
      <w:r w:rsidR="00C626CD">
        <w:t xml:space="preserve">practically help to </w:t>
      </w:r>
      <w:r>
        <w:t xml:space="preserve">speed up/prioritize F1 setup for </w:t>
      </w:r>
      <w:proofErr w:type="spellStart"/>
      <w:r w:rsidR="00E95C1C">
        <w:t>DU</w:t>
      </w:r>
      <w:r>
        <w:t>b.</w:t>
      </w:r>
      <w:proofErr w:type="spellEnd"/>
    </w:p>
    <w:p w14:paraId="1B165B6D" w14:textId="03E8529D" w:rsidR="0037604C" w:rsidRDefault="00D375BC" w:rsidP="00293DC5">
      <w:r w:rsidRPr="00537541">
        <w:t xml:space="preserve">In terms of BAP routing </w:t>
      </w:r>
      <w:r w:rsidR="005B68AF" w:rsidRPr="00537541">
        <w:t xml:space="preserve">ID </w:t>
      </w:r>
      <w:r w:rsidRPr="00537541">
        <w:t xml:space="preserve">configuration, </w:t>
      </w:r>
      <w:r w:rsidR="00EA4EC1" w:rsidRPr="00537541">
        <w:t>D</w:t>
      </w:r>
      <w:r w:rsidR="005B68AF" w:rsidRPr="00537541">
        <w:t xml:space="preserve">U1 and </w:t>
      </w:r>
      <w:r w:rsidR="00EA4EC1" w:rsidRPr="00537541">
        <w:t>D</w:t>
      </w:r>
      <w:r w:rsidR="005B68AF" w:rsidRPr="00537541">
        <w:t xml:space="preserve">U2 </w:t>
      </w:r>
      <w:r w:rsidR="00732CCC" w:rsidRPr="00537541">
        <w:t>can</w:t>
      </w:r>
      <w:r w:rsidR="005B68AF" w:rsidRPr="00537541">
        <w:t xml:space="preserve"> already exchange </w:t>
      </w:r>
      <w:r w:rsidR="00732CCC" w:rsidRPr="00537541">
        <w:t xml:space="preserve">UL IP packets </w:t>
      </w:r>
      <w:proofErr w:type="gramStart"/>
      <w:r w:rsidR="00EA4EC1" w:rsidRPr="00537541">
        <w:t>e.g.</w:t>
      </w:r>
      <w:proofErr w:type="gramEnd"/>
      <w:r w:rsidR="00EA4EC1" w:rsidRPr="00537541">
        <w:t xml:space="preserve"> via inter-donor rerouting</w:t>
      </w:r>
      <w:r w:rsidR="005B68AF" w:rsidRPr="00537541">
        <w:t xml:space="preserve">, </w:t>
      </w:r>
      <w:r w:rsidR="00EA4EC1" w:rsidRPr="00537541">
        <w:t>so it is</w:t>
      </w:r>
      <w:r w:rsidR="00574515" w:rsidRPr="00537541">
        <w:t xml:space="preserve"> also</w:t>
      </w:r>
      <w:r w:rsidR="00EA4EC1" w:rsidRPr="00537541">
        <w:t xml:space="preserve"> not very clear </w:t>
      </w:r>
      <w:r w:rsidR="00732CCC" w:rsidRPr="00537541">
        <w:t>why a unique BAP routing ID would be required for F1-C traffic</w:t>
      </w:r>
      <w:r w:rsidR="007426CD" w:rsidRPr="00537541">
        <w:t>,</w:t>
      </w:r>
      <w:r w:rsidR="00732CCC" w:rsidRPr="00537541">
        <w:t xml:space="preserve"> which would </w:t>
      </w:r>
      <w:r w:rsidR="00FF7676">
        <w:t xml:space="preserve">initially </w:t>
      </w:r>
      <w:r w:rsidR="00732CCC" w:rsidRPr="00537541">
        <w:t xml:space="preserve">get routed </w:t>
      </w:r>
      <w:r w:rsidR="007426CD" w:rsidRPr="00537541">
        <w:t xml:space="preserve">to the same donor-DU </w:t>
      </w:r>
      <w:r w:rsidR="00732CCC" w:rsidRPr="00537541">
        <w:t>via the same</w:t>
      </w:r>
      <w:r w:rsidR="00B67F07">
        <w:t xml:space="preserve"> BH</w:t>
      </w:r>
      <w:r w:rsidR="00732CCC" w:rsidRPr="00537541">
        <w:t xml:space="preserve"> path anyway.</w:t>
      </w:r>
    </w:p>
    <w:p w14:paraId="7CE5473C" w14:textId="5696E7FC" w:rsidR="009C1135" w:rsidRDefault="009C1135" w:rsidP="00293DC5">
      <w:r w:rsidRPr="009C1135">
        <w:rPr>
          <w:b/>
          <w:bCs/>
        </w:rPr>
        <w:t>Observation 1</w:t>
      </w:r>
      <w:r>
        <w:t xml:space="preserve">: It is not clear </w:t>
      </w:r>
      <w:r w:rsidR="00717E78">
        <w:t>why</w:t>
      </w:r>
      <w:r>
        <w:t xml:space="preserve"> a dedicated default UL BAP configuration (BH RLC and/or Routing ID) for each logical DU </w:t>
      </w:r>
      <w:r w:rsidR="00717E78">
        <w:t>is necessary or helpful for</w:t>
      </w:r>
      <w:r>
        <w:t xml:space="preserve"> speed</w:t>
      </w:r>
      <w:r w:rsidR="00717E78">
        <w:t>ing</w:t>
      </w:r>
      <w:r>
        <w:t xml:space="preserve"> up</w:t>
      </w:r>
      <w:r w:rsidR="00717E78">
        <w:t>/</w:t>
      </w:r>
      <w:r>
        <w:t>prioritiz</w:t>
      </w:r>
      <w:r w:rsidR="00717E78">
        <w:t>ing</w:t>
      </w:r>
      <w:r>
        <w:t xml:space="preserve"> F1 setup </w:t>
      </w:r>
      <w:r w:rsidR="00FA1283">
        <w:t xml:space="preserve">at the target logical DU </w:t>
      </w:r>
      <w:r>
        <w:t xml:space="preserve">during IAB node migration. </w:t>
      </w:r>
    </w:p>
    <w:p w14:paraId="17A2B5B6" w14:textId="2E2D9623" w:rsidR="005A6D09" w:rsidRDefault="005A6D09" w:rsidP="005A6D09">
      <w:pPr>
        <w:jc w:val="center"/>
      </w:pPr>
      <w:r>
        <w:rPr>
          <w:noProof/>
        </w:rPr>
        <w:lastRenderedPageBreak/>
        <w:drawing>
          <wp:inline distT="0" distB="0" distL="0" distR="0" wp14:anchorId="13A27028" wp14:editId="5CF936FC">
            <wp:extent cx="5349600" cy="35496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9600" cy="3549600"/>
                    </a:xfrm>
                    <a:prstGeom prst="rect">
                      <a:avLst/>
                    </a:prstGeom>
                    <a:noFill/>
                  </pic:spPr>
                </pic:pic>
              </a:graphicData>
            </a:graphic>
          </wp:inline>
        </w:drawing>
      </w:r>
    </w:p>
    <w:p w14:paraId="5821D6D7" w14:textId="0D524285" w:rsidR="005A6D09" w:rsidRPr="006E13D1" w:rsidRDefault="005A6D09" w:rsidP="005A6D09">
      <w:pPr>
        <w:pStyle w:val="TF"/>
      </w:pPr>
      <w:r w:rsidRPr="006E13D1">
        <w:t xml:space="preserve">Figure </w:t>
      </w:r>
      <w:r>
        <w:t>2.1-</w:t>
      </w:r>
      <w:r w:rsidR="00AD610D">
        <w:t>2</w:t>
      </w:r>
      <w:r w:rsidRPr="006E13D1">
        <w:t xml:space="preserve">: </w:t>
      </w:r>
      <w:r>
        <w:t>Mobile IAB node migration with intermediate node</w:t>
      </w:r>
      <w:r>
        <w:t>s</w:t>
      </w:r>
    </w:p>
    <w:p w14:paraId="73BA4777" w14:textId="2EB7A738" w:rsidR="0056205F" w:rsidRDefault="00FA1283" w:rsidP="00293DC5">
      <w:r>
        <w:t xml:space="preserve">Now, </w:t>
      </w:r>
      <w:r w:rsidR="00723637">
        <w:t>consider</w:t>
      </w:r>
      <w:r>
        <w:t xml:space="preserve"> the second motivation, </w:t>
      </w:r>
      <w:proofErr w:type="gramStart"/>
      <w:r>
        <w:t>i.e.</w:t>
      </w:r>
      <w:proofErr w:type="gramEnd"/>
      <w:r>
        <w:t xml:space="preserve"> the case where there is an intermediate node between the donor DU and the migrating mobile IAB node</w:t>
      </w:r>
      <w:r w:rsidR="005A6D09">
        <w:t xml:space="preserve"> (Figure 2.1-2)</w:t>
      </w:r>
      <w:r w:rsidR="00723637">
        <w:t>. It</w:t>
      </w:r>
      <w:r w:rsidR="00C87C6D">
        <w:t xml:space="preserve"> is again not very clear why the ability to provide a different </w:t>
      </w:r>
      <w:r w:rsidR="00D6606E">
        <w:t xml:space="preserve">default UL BAP configuration </w:t>
      </w:r>
      <w:r w:rsidR="00574515">
        <w:t xml:space="preserve">for </w:t>
      </w:r>
      <w:r w:rsidR="00717E78">
        <w:t xml:space="preserve">the limited amount of </w:t>
      </w:r>
      <w:r w:rsidR="00574515">
        <w:t xml:space="preserve">non-F1-U traffic at </w:t>
      </w:r>
      <w:r w:rsidR="00A33A2E">
        <w:t>logical</w:t>
      </w:r>
      <w:r w:rsidR="00C87C6D">
        <w:t xml:space="preserve"> </w:t>
      </w:r>
      <w:proofErr w:type="spellStart"/>
      <w:r w:rsidR="00E95C1C">
        <w:t>DU</w:t>
      </w:r>
      <w:r w:rsidR="004A1A0B">
        <w:t>b</w:t>
      </w:r>
      <w:proofErr w:type="spellEnd"/>
      <w:r w:rsidR="004A1A0B">
        <w:t xml:space="preserve"> is needed or helpful</w:t>
      </w:r>
      <w:r w:rsidR="0035289E">
        <w:t xml:space="preserve">, </w:t>
      </w:r>
      <w:r w:rsidR="00574515">
        <w:t xml:space="preserve">and a similar </w:t>
      </w:r>
      <w:r w:rsidR="0035289E">
        <w:t>argument can be made as for the case of speeding up/prioritizing F1 setup that a common default UL BAP configuration at both logical DUs is sufficient</w:t>
      </w:r>
      <w:r w:rsidR="00723637">
        <w:t xml:space="preserve"> in this scenario</w:t>
      </w:r>
      <w:r w:rsidR="0035289E">
        <w:t>.</w:t>
      </w:r>
      <w:r w:rsidR="0056205F">
        <w:t xml:space="preserve"> </w:t>
      </w:r>
    </w:p>
    <w:p w14:paraId="34019826" w14:textId="00BD330B" w:rsidR="00FA1283" w:rsidRDefault="00880A79" w:rsidP="00293DC5">
      <w:r>
        <w:rPr>
          <w:noProof/>
        </w:rPr>
        <mc:AlternateContent>
          <mc:Choice Requires="wps">
            <w:drawing>
              <wp:anchor distT="45720" distB="45720" distL="114300" distR="114300" simplePos="0" relativeHeight="251661312" behindDoc="0" locked="0" layoutInCell="1" allowOverlap="1" wp14:anchorId="27735C04" wp14:editId="2FADC565">
                <wp:simplePos x="0" y="0"/>
                <wp:positionH relativeFrom="margin">
                  <wp:align>right</wp:align>
                </wp:positionH>
                <wp:positionV relativeFrom="paragraph">
                  <wp:posOffset>408940</wp:posOffset>
                </wp:positionV>
                <wp:extent cx="5962650" cy="933450"/>
                <wp:effectExtent l="0" t="0" r="19050"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933450"/>
                        </a:xfrm>
                        <a:prstGeom prst="rect">
                          <a:avLst/>
                        </a:prstGeom>
                        <a:solidFill>
                          <a:srgbClr val="FFFFFF"/>
                        </a:solidFill>
                        <a:ln w="9525">
                          <a:solidFill>
                            <a:srgbClr val="000000"/>
                          </a:solidFill>
                          <a:miter lim="800000"/>
                          <a:headEnd/>
                          <a:tailEnd/>
                        </a:ln>
                      </wps:spPr>
                      <wps:txbx>
                        <w:txbxContent>
                          <w:p w14:paraId="29ECF05F" w14:textId="77777777" w:rsidR="00880A79" w:rsidRDefault="00880A79" w:rsidP="00880A79">
                            <w:pPr>
                              <w:numPr>
                                <w:ilvl w:val="0"/>
                                <w:numId w:val="12"/>
                              </w:numPr>
                              <w:spacing w:before="60" w:after="60"/>
                              <w:jc w:val="both"/>
                            </w:pPr>
                            <w:r w:rsidRPr="00880A79">
                              <w:rPr>
                                <w:sz w:val="18"/>
                                <w:szCs w:val="18"/>
                              </w:rPr>
                              <w:t>Define Procedures for migration/topology adaptation to enable IAB-node mobility, including inter-donor migration of the entire mobile IAB-node (full migration) [RAN3, RAN2]</w:t>
                            </w:r>
                          </w:p>
                          <w:p w14:paraId="6F29A566" w14:textId="1570F829" w:rsidR="00880A79" w:rsidRDefault="00880A79" w:rsidP="00880A79">
                            <w:pPr>
                              <w:numPr>
                                <w:ilvl w:val="1"/>
                                <w:numId w:val="12"/>
                              </w:numPr>
                              <w:spacing w:before="60" w:after="60"/>
                              <w:ind w:left="1037" w:hanging="357"/>
                              <w:jc w:val="both"/>
                            </w:pPr>
                            <w:r w:rsidRPr="00880A79">
                              <w:rPr>
                                <w:sz w:val="18"/>
                                <w:szCs w:val="18"/>
                              </w:rPr>
                              <w:t xml:space="preserve">The mobile IAB-node can connect to a stationary (intermediate) IAB-node. </w:t>
                            </w:r>
                            <w:r w:rsidRPr="00880A79">
                              <w:rPr>
                                <w:b/>
                                <w:bCs/>
                                <w:sz w:val="18"/>
                                <w:szCs w:val="18"/>
                              </w:rPr>
                              <w:t>Optimizations specific to the scenarios, where the mobile IAB-node connects to a stationary (intermediate) IAB-node</w:t>
                            </w:r>
                            <w:r w:rsidRPr="00880A79">
                              <w:rPr>
                                <w:sz w:val="18"/>
                                <w:szCs w:val="18"/>
                              </w:rPr>
                              <w:t xml:space="preserve">, or where it directly connects to an IAB-donor-DU </w:t>
                            </w:r>
                            <w:r w:rsidRPr="00880A79">
                              <w:rPr>
                                <w:b/>
                                <w:bCs/>
                                <w:sz w:val="18"/>
                                <w:szCs w:val="18"/>
                              </w:rPr>
                              <w:t>are de-prioritized</w:t>
                            </w:r>
                            <w:r w:rsidRPr="00880A79">
                              <w:rPr>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0930B64">
              <v:shapetype id="_x0000_t202" coordsize="21600,21600" o:spt="202" path="m,l,21600r21600,l21600,xe" w14:anchorId="27735C04">
                <v:stroke joinstyle="miter"/>
                <v:path gradientshapeok="t" o:connecttype="rect"/>
              </v:shapetype>
              <v:shape id="_x0000_s1027" style="position:absolute;margin-left:418.3pt;margin-top:32.2pt;width:469.5pt;height:73.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">
                <v:textbox>
                  <w:txbxContent>
                    <w:p w:rsidR="00880A79" w:rsidP="00880A79" w:rsidRDefault="00880A79" w14:paraId="21CB3F5F" w14:textId="77777777">
                      <w:pPr>
                        <w:numPr>
                          <w:ilvl w:val="0"/>
                          <w:numId w:val="12"/>
                        </w:numPr>
                        <w:spacing w:before="60" w:after="60"/>
                        <w:jc w:val="both"/>
                      </w:pPr>
                      <w:r w:rsidRPr="00880A79">
                        <w:rPr>
                          <w:sz w:val="18"/>
                          <w:szCs w:val="18"/>
                        </w:rPr>
                        <w:t>Define Procedures for migration/topology adaptation to enable IAB-node mobility, including inter-donor migration of the entire mobile IAB-node (full migration) [RAN3, RAN2]</w:t>
                      </w:r>
                    </w:p>
                    <w:p w:rsidR="00880A79" w:rsidP="00880A79" w:rsidRDefault="00880A79" w14:paraId="1E623EBD" w14:textId="1570F829">
                      <w:pPr>
                        <w:numPr>
                          <w:ilvl w:val="1"/>
                          <w:numId w:val="12"/>
                        </w:numPr>
                        <w:spacing w:before="60" w:after="60"/>
                        <w:ind w:left="1037" w:hanging="357"/>
                        <w:jc w:val="both"/>
                      </w:pPr>
                      <w:r w:rsidRPr="00880A79">
                        <w:rPr>
                          <w:sz w:val="18"/>
                          <w:szCs w:val="18"/>
                        </w:rPr>
                        <w:t xml:space="preserve">The mobile IAB-node can connect to a stationary (intermediate) IAB-node. </w:t>
                      </w:r>
                      <w:r w:rsidRPr="00880A79">
                        <w:rPr>
                          <w:b/>
                          <w:bCs/>
                          <w:sz w:val="18"/>
                          <w:szCs w:val="18"/>
                        </w:rPr>
                        <w:t>Optimizations specific to the scenarios, where the mobile IAB-node connects to a stationary (intermediate) IAB-node</w:t>
                      </w:r>
                      <w:r w:rsidRPr="00880A79">
                        <w:rPr>
                          <w:sz w:val="18"/>
                          <w:szCs w:val="18"/>
                        </w:rPr>
                        <w:t xml:space="preserve">, or where it directly connects to an IAB-donor-DU </w:t>
                      </w:r>
                      <w:r w:rsidRPr="00880A79">
                        <w:rPr>
                          <w:b/>
                          <w:bCs/>
                          <w:sz w:val="18"/>
                          <w:szCs w:val="18"/>
                        </w:rPr>
                        <w:t>are de-prioritized</w:t>
                      </w:r>
                      <w:r w:rsidRPr="00880A79">
                        <w:rPr>
                          <w:sz w:val="18"/>
                          <w:szCs w:val="18"/>
                        </w:rPr>
                        <w:t>.</w:t>
                      </w:r>
                    </w:p>
                  </w:txbxContent>
                </v:textbox>
                <w10:wrap type="topAndBottom" anchorx="margin"/>
              </v:shape>
            </w:pict>
          </mc:Fallback>
        </mc:AlternateContent>
      </w:r>
      <w:r w:rsidR="0056205F">
        <w:t xml:space="preserve">Furthermore, it is noted that the agreed WI description for Rel-18 IAB </w:t>
      </w:r>
      <w:r w:rsidR="007B6F62">
        <w:t>(</w:t>
      </w:r>
      <w:hyperlink r:id="rId15" w:history="1">
        <w:r w:rsidR="007B6F62" w:rsidRPr="007B6F62">
          <w:rPr>
            <w:rStyle w:val="Hyperlink"/>
          </w:rPr>
          <w:t>RP-22</w:t>
        </w:r>
        <w:r w:rsidR="007B6F62" w:rsidRPr="007B6F62">
          <w:rPr>
            <w:rStyle w:val="Hyperlink"/>
          </w:rPr>
          <w:t>2</w:t>
        </w:r>
        <w:r w:rsidR="007B6F62" w:rsidRPr="007B6F62">
          <w:rPr>
            <w:rStyle w:val="Hyperlink"/>
          </w:rPr>
          <w:t>671</w:t>
        </w:r>
      </w:hyperlink>
      <w:r w:rsidR="007B6F62">
        <w:t xml:space="preserve">) </w:t>
      </w:r>
      <w:r w:rsidR="0056205F">
        <w:t>de-prio</w:t>
      </w:r>
      <w:r w:rsidR="00E2409C">
        <w:t>ri</w:t>
      </w:r>
      <w:r w:rsidR="0056205F">
        <w:t xml:space="preserve">tizes optimizations </w:t>
      </w:r>
      <w:r>
        <w:t>for the</w:t>
      </w:r>
      <w:r w:rsidR="0056205F">
        <w:t xml:space="preserve"> </w:t>
      </w:r>
      <w:r>
        <w:t>scenario</w:t>
      </w:r>
      <w:r w:rsidR="0056205F">
        <w:t xml:space="preserve"> where the mobile IAB node is connected to an intermediate IAB node:</w:t>
      </w:r>
    </w:p>
    <w:p w14:paraId="364EB40C" w14:textId="03220E5E" w:rsidR="0056205F" w:rsidRPr="00880A79" w:rsidRDefault="0056205F" w:rsidP="00880A79">
      <w:pPr>
        <w:spacing w:before="60" w:after="60"/>
        <w:jc w:val="both"/>
        <w:rPr>
          <w:sz w:val="18"/>
          <w:szCs w:val="18"/>
        </w:rPr>
      </w:pPr>
    </w:p>
    <w:p w14:paraId="5E9E125F" w14:textId="590CE45B" w:rsidR="00717E78" w:rsidRDefault="0035289E" w:rsidP="00717E78">
      <w:r w:rsidRPr="009C1135">
        <w:rPr>
          <w:b/>
          <w:bCs/>
        </w:rPr>
        <w:t xml:space="preserve">Observation </w:t>
      </w:r>
      <w:r w:rsidR="00574515">
        <w:rPr>
          <w:b/>
          <w:bCs/>
        </w:rPr>
        <w:t>2</w:t>
      </w:r>
      <w:r>
        <w:t xml:space="preserve">: </w:t>
      </w:r>
      <w:r w:rsidR="00717E78">
        <w:t>It is not clear why a dedicated default UL BAP configuration (BH RLC and/or Routing ID) for each logical DU is necessary or helpful when there is an intermediate node between the mobile IAB node and the donor</w:t>
      </w:r>
      <w:r w:rsidR="00C61138">
        <w:t xml:space="preserve"> </w:t>
      </w:r>
      <w:r w:rsidR="00717E78">
        <w:t xml:space="preserve">DU. </w:t>
      </w:r>
      <w:r w:rsidR="005A6D09">
        <w:t>Furthermore</w:t>
      </w:r>
      <w:r w:rsidR="00880A79">
        <w:t>, optimizations related to intermediate IAB nodes are already de-prioritized in the WI</w:t>
      </w:r>
      <w:r w:rsidR="005A6D09">
        <w:t>D</w:t>
      </w:r>
      <w:r w:rsidR="00880A79">
        <w:t>.</w:t>
      </w:r>
    </w:p>
    <w:p w14:paraId="19A79768" w14:textId="3754AECC" w:rsidR="00D6606E" w:rsidRDefault="00AD610D" w:rsidP="00D6606E">
      <w:pPr>
        <w:jc w:val="center"/>
      </w:pPr>
      <w:r>
        <w:rPr>
          <w:noProof/>
        </w:rPr>
        <w:lastRenderedPageBreak/>
        <w:drawing>
          <wp:inline distT="0" distB="0" distL="0" distR="0" wp14:anchorId="36563256" wp14:editId="31A3D1C8">
            <wp:extent cx="3585600" cy="2678400"/>
            <wp:effectExtent l="0" t="0" r="0" b="8255"/>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5600" cy="2678400"/>
                    </a:xfrm>
                    <a:prstGeom prst="rect">
                      <a:avLst/>
                    </a:prstGeom>
                    <a:noFill/>
                  </pic:spPr>
                </pic:pic>
              </a:graphicData>
            </a:graphic>
          </wp:inline>
        </w:drawing>
      </w:r>
    </w:p>
    <w:p w14:paraId="4D682442" w14:textId="066F5672" w:rsidR="00D6606E" w:rsidRPr="006E13D1" w:rsidRDefault="00D6606E" w:rsidP="00D6606E">
      <w:pPr>
        <w:pStyle w:val="TF"/>
      </w:pPr>
      <w:r w:rsidRPr="006E13D1">
        <w:t xml:space="preserve">Figure </w:t>
      </w:r>
      <w:r>
        <w:t>2.1-</w:t>
      </w:r>
      <w:r w:rsidR="005A6D09">
        <w:t>3</w:t>
      </w:r>
      <w:r w:rsidRPr="006E13D1">
        <w:t xml:space="preserve">: </w:t>
      </w:r>
      <w:r>
        <w:t xml:space="preserve">Mobile IAB node migration when logical DUs have different donor CUs </w:t>
      </w:r>
      <w:r w:rsidR="00C61138">
        <w:t xml:space="preserve">than </w:t>
      </w:r>
      <w:r>
        <w:t>IAB-MT</w:t>
      </w:r>
    </w:p>
    <w:p w14:paraId="758CAF72" w14:textId="48ECDDC5" w:rsidR="00F41ACE" w:rsidRDefault="00AD6A05" w:rsidP="008300D6">
      <w:r>
        <w:t xml:space="preserve">Now, consider the case where the mobile IAB-MT </w:t>
      </w:r>
      <w:r w:rsidR="00BD7819">
        <w:t xml:space="preserve">and </w:t>
      </w:r>
      <w:r>
        <w:t>its logical DUs are each associated with different donors. This is illustrated in Figure 2.1-</w:t>
      </w:r>
      <w:r w:rsidR="005A6D09">
        <w:t>3</w:t>
      </w:r>
      <w:r>
        <w:t>, where IAB-MT has an RRC connection with donor CU2</w:t>
      </w:r>
      <w:r w:rsidR="00C61138">
        <w:t xml:space="preserve"> (</w:t>
      </w:r>
      <w:proofErr w:type="gramStart"/>
      <w:r w:rsidR="00C61138">
        <w:t>i.e.</w:t>
      </w:r>
      <w:proofErr w:type="gramEnd"/>
      <w:r w:rsidR="00C61138">
        <w:t xml:space="preserve"> CU2 is the non-F1-terminating donor)</w:t>
      </w:r>
      <w:r>
        <w:t>, IAB-</w:t>
      </w:r>
      <w:proofErr w:type="spellStart"/>
      <w:r w:rsidR="00E95C1C">
        <w:t>DU</w:t>
      </w:r>
      <w:r>
        <w:t>a</w:t>
      </w:r>
      <w:proofErr w:type="spellEnd"/>
      <w:r>
        <w:t xml:space="preserve"> has F1-termination at donor-</w:t>
      </w:r>
      <w:r w:rsidR="00537541">
        <w:t>CU1</w:t>
      </w:r>
      <w:r>
        <w:t xml:space="preserve"> and IAB-</w:t>
      </w:r>
      <w:proofErr w:type="spellStart"/>
      <w:r w:rsidR="00E95C1C">
        <w:t>DU</w:t>
      </w:r>
      <w:r>
        <w:t>b</w:t>
      </w:r>
      <w:proofErr w:type="spellEnd"/>
      <w:r>
        <w:t xml:space="preserve"> has F1-termination at donor-</w:t>
      </w:r>
      <w:r w:rsidR="00A33A2E">
        <w:t>CU3</w:t>
      </w:r>
      <w:r>
        <w:t xml:space="preserve">. </w:t>
      </w:r>
      <w:r w:rsidR="00BD7819">
        <w:t xml:space="preserve">Here, </w:t>
      </w:r>
      <w:r w:rsidR="00F41ACE">
        <w:t xml:space="preserve">the mobile IAB-DU </w:t>
      </w:r>
      <w:r w:rsidR="00BD7819">
        <w:t xml:space="preserve">migration occurs from </w:t>
      </w:r>
      <w:r w:rsidR="005D227D">
        <w:t xml:space="preserve">CU1 </w:t>
      </w:r>
      <w:r w:rsidR="00BD7819">
        <w:t xml:space="preserve">to </w:t>
      </w:r>
      <w:r w:rsidR="005D227D">
        <w:t>CU3</w:t>
      </w:r>
      <w:r w:rsidR="00BD7819">
        <w:t xml:space="preserve">. </w:t>
      </w:r>
      <w:r w:rsidR="00CF2A53">
        <w:t xml:space="preserve"> </w:t>
      </w:r>
    </w:p>
    <w:p w14:paraId="636F749E" w14:textId="4BBC273D" w:rsidR="008300D6" w:rsidRDefault="00320D9B" w:rsidP="008300D6">
      <w:r>
        <w:t xml:space="preserve">Assuming the default </w:t>
      </w:r>
      <w:r w:rsidR="00FE42ED">
        <w:t xml:space="preserve">UL BAP configuration </w:t>
      </w:r>
      <w:r>
        <w:t xml:space="preserve">has been </w:t>
      </w:r>
      <w:r w:rsidR="00FE42ED">
        <w:t xml:space="preserve">provided by CU2 via RRC and no new configuration </w:t>
      </w:r>
      <w:r w:rsidR="008300D6">
        <w:t xml:space="preserve">for UL non-F1-U traffic has been </w:t>
      </w:r>
      <w:r w:rsidR="00FE42ED">
        <w:t>provided by F1AP</w:t>
      </w:r>
      <w:r>
        <w:t>,</w:t>
      </w:r>
      <w:r w:rsidR="008300D6">
        <w:t xml:space="preserve"> similar arguments can be applied as for the earlier cases considered. Hence, there does not appear to be strong motivation for having different default UL BAP configurations for the non-F1-U traffic at each logical DU, since both DUs make use of the same BH radio link and since UL IP traffic can be </w:t>
      </w:r>
      <w:r w:rsidR="008300D6" w:rsidRPr="00C32CDC">
        <w:t>re-routed</w:t>
      </w:r>
      <w:r w:rsidR="00F41ACE">
        <w:t xml:space="preserve"> from donor-DU2 to DU1/DU</w:t>
      </w:r>
      <w:r w:rsidR="00E95C1C">
        <w:t>3</w:t>
      </w:r>
      <w:r w:rsidR="008300D6">
        <w:t>.</w:t>
      </w:r>
    </w:p>
    <w:p w14:paraId="1190048F" w14:textId="27CEABC1" w:rsidR="00CF2A53" w:rsidRDefault="00CF2A53" w:rsidP="00D6606E">
      <w:r w:rsidRPr="00CF2A53">
        <w:rPr>
          <w:b/>
          <w:bCs/>
        </w:rPr>
        <w:t>Observation 3</w:t>
      </w:r>
      <w:r>
        <w:t>:</w:t>
      </w:r>
      <w:r w:rsidR="00FE42ED" w:rsidRPr="00FE42ED">
        <w:t xml:space="preserve"> </w:t>
      </w:r>
      <w:r w:rsidR="008300D6">
        <w:t>I</w:t>
      </w:r>
      <w:r w:rsidR="00FE42ED">
        <w:t xml:space="preserve">t is not clear why a dedicated default UL BAP configuration (BH RLC and/or Routing ID) for each logical DU is necessary or helpful </w:t>
      </w:r>
      <w:r w:rsidR="008300D6">
        <w:t xml:space="preserve">when </w:t>
      </w:r>
      <w:r w:rsidR="00FE42ED">
        <w:t xml:space="preserve">the logical DUs F1-terminate at different donor </w:t>
      </w:r>
      <w:r w:rsidR="00F41ACE">
        <w:t>CUs</w:t>
      </w:r>
      <w:r w:rsidR="008300D6">
        <w:t xml:space="preserve">, which are also different from the non-F1-terminating </w:t>
      </w:r>
      <w:r w:rsidR="00F41ACE">
        <w:t>CU</w:t>
      </w:r>
      <w:r w:rsidR="008300D6">
        <w:t>, and no new UL BAP configuration has been provided to a logical DU by F1AP.</w:t>
      </w:r>
    </w:p>
    <w:p w14:paraId="3E9FD0DF" w14:textId="604FD7E9" w:rsidR="00AD610D" w:rsidRDefault="00AD610D" w:rsidP="00D6606E">
      <w:r>
        <w:t>Considering Observations 1, 2 and 3, we propose the following:</w:t>
      </w:r>
    </w:p>
    <w:p w14:paraId="176C1F27" w14:textId="3175FEDE" w:rsidR="0080784E" w:rsidRDefault="00320D9B" w:rsidP="00320D9B">
      <w:r w:rsidRPr="0002609C">
        <w:rPr>
          <w:b/>
          <w:bCs/>
        </w:rPr>
        <w:t>Proposal 1</w:t>
      </w:r>
      <w:r>
        <w:t>: When the mobile IAB-MT is (re)configured with a default UL BAP configuration, it applies the configuration to upstream non-F1-U traffic at both logical DUs.</w:t>
      </w:r>
    </w:p>
    <w:p w14:paraId="0B789806" w14:textId="2BF01B57" w:rsidR="00BA3021" w:rsidRPr="00456449" w:rsidRDefault="00320D9B" w:rsidP="0080784E">
      <w:pPr>
        <w:rPr>
          <w:rFonts w:ascii="Calibri" w:hAnsi="Calibri" w:cs="Calibri"/>
          <w:sz w:val="22"/>
          <w:szCs w:val="22"/>
        </w:rPr>
      </w:pPr>
      <w:r>
        <w:t>In the scenario</w:t>
      </w:r>
      <w:r w:rsidR="00AD610D">
        <w:t xml:space="preserve"> where the logical DUs have F1 connections with different donor CUs</w:t>
      </w:r>
      <w:r>
        <w:t xml:space="preserve">, if the UL BAP configuration for non-F1-U traffic </w:t>
      </w:r>
      <w:r w:rsidR="006727F2">
        <w:t xml:space="preserve">is </w:t>
      </w:r>
      <w:r>
        <w:t xml:space="preserve">reconfigured by </w:t>
      </w:r>
      <w:r w:rsidR="00844BED">
        <w:t xml:space="preserve">CU1 </w:t>
      </w:r>
      <w:r w:rsidR="0025761B">
        <w:t xml:space="preserve">via </w:t>
      </w:r>
      <w:r>
        <w:t>F1AP</w:t>
      </w:r>
      <w:r w:rsidR="0025761B">
        <w:t xml:space="preserve">, </w:t>
      </w:r>
      <w:r w:rsidR="009A57CD">
        <w:t>some companies</w:t>
      </w:r>
      <w:r w:rsidR="0025761B">
        <w:t xml:space="preserve"> indicated this could create a problem during migration from </w:t>
      </w:r>
      <w:r w:rsidR="00CD2D32">
        <w:t xml:space="preserve">CU1 </w:t>
      </w:r>
      <w:r w:rsidR="0025761B">
        <w:t xml:space="preserve">to </w:t>
      </w:r>
      <w:r w:rsidR="00CD2D32">
        <w:t>CU3</w:t>
      </w:r>
      <w:r w:rsidR="0025761B">
        <w:t xml:space="preserve">, </w:t>
      </w:r>
      <w:r w:rsidR="0025761B" w:rsidRPr="006727F2">
        <w:t xml:space="preserve">since </w:t>
      </w:r>
      <w:r w:rsidR="00CD2D32" w:rsidRPr="006727F2">
        <w:t xml:space="preserve">CU2 </w:t>
      </w:r>
      <w:r w:rsidR="0025761B" w:rsidRPr="006727F2">
        <w:t xml:space="preserve">would not necessarily know whether the </w:t>
      </w:r>
      <w:r w:rsidR="006727F2" w:rsidRPr="006727F2">
        <w:t>default UL BAP configuration</w:t>
      </w:r>
      <w:r w:rsidR="0025761B" w:rsidRPr="006727F2">
        <w:t xml:space="preserve"> was still available at the IAB node</w:t>
      </w:r>
      <w:r w:rsidR="0025761B">
        <w:t xml:space="preserve">. However, we think </w:t>
      </w:r>
      <w:r w:rsidR="00BA3021">
        <w:t>it</w:t>
      </w:r>
      <w:r w:rsidR="0025761B">
        <w:t xml:space="preserve"> </w:t>
      </w:r>
      <w:r w:rsidR="00BA3021">
        <w:t xml:space="preserve">is an inaccurate assumption that </w:t>
      </w:r>
      <w:r w:rsidR="00844BED">
        <w:t xml:space="preserve">the default configuration </w:t>
      </w:r>
      <w:r w:rsidR="003D4BB0">
        <w:t xml:space="preserve">would </w:t>
      </w:r>
      <w:r w:rsidR="00BA3021">
        <w:t xml:space="preserve">be discarded </w:t>
      </w:r>
      <w:r w:rsidR="009A57CD">
        <w:t>at the mobile IAB node</w:t>
      </w:r>
      <w:r w:rsidR="00C64C19">
        <w:t xml:space="preserve"> since </w:t>
      </w:r>
      <w:proofErr w:type="spellStart"/>
      <w:r w:rsidR="00C64C19">
        <w:rPr>
          <w:i/>
          <w:iCs/>
        </w:rPr>
        <w:t>defaultUL</w:t>
      </w:r>
      <w:proofErr w:type="spellEnd"/>
      <w:r w:rsidR="00C64C19">
        <w:rPr>
          <w:i/>
          <w:iCs/>
        </w:rPr>
        <w:t>-BAP-</w:t>
      </w:r>
      <w:proofErr w:type="spellStart"/>
      <w:r w:rsidR="00C64C19">
        <w:rPr>
          <w:i/>
          <w:iCs/>
        </w:rPr>
        <w:t>RoutingID</w:t>
      </w:r>
      <w:proofErr w:type="spellEnd"/>
      <w:r w:rsidR="00C64C19">
        <w:t xml:space="preserve"> and </w:t>
      </w:r>
      <w:proofErr w:type="spellStart"/>
      <w:r w:rsidR="00C64C19">
        <w:rPr>
          <w:i/>
          <w:iCs/>
        </w:rPr>
        <w:t>defaultUL</w:t>
      </w:r>
      <w:proofErr w:type="spellEnd"/>
      <w:r w:rsidR="00C64C19">
        <w:rPr>
          <w:i/>
          <w:iCs/>
        </w:rPr>
        <w:t>-BH-RLC-Channel</w:t>
      </w:r>
      <w:r w:rsidR="00C64C19">
        <w:t xml:space="preserve"> </w:t>
      </w:r>
      <w:r w:rsidR="00833F52">
        <w:t>both have need code “M” (maintain) in the RRC specification TS 38.331.</w:t>
      </w:r>
      <w:r w:rsidR="00FF7676">
        <w:t xml:space="preserve"> In other words, the default configuration is not lost at the IAB node (or </w:t>
      </w:r>
      <w:proofErr w:type="spellStart"/>
      <w:r w:rsidR="00E95C1C">
        <w:t>DU</w:t>
      </w:r>
      <w:r w:rsidR="00FF7676">
        <w:t>b</w:t>
      </w:r>
      <w:proofErr w:type="spellEnd"/>
      <w:r w:rsidR="00FF7676">
        <w:t xml:space="preserve">) when CU1 reconfigures </w:t>
      </w:r>
      <w:proofErr w:type="spellStart"/>
      <w:r w:rsidR="00E95C1C">
        <w:t>DU</w:t>
      </w:r>
      <w:r w:rsidR="00FF7676">
        <w:t>a</w:t>
      </w:r>
      <w:proofErr w:type="spellEnd"/>
      <w:r w:rsidR="00FF7676">
        <w:t xml:space="preserve"> by F1AP. </w:t>
      </w:r>
    </w:p>
    <w:p w14:paraId="6256B45D" w14:textId="3F68EF83" w:rsidR="00BA3021" w:rsidRDefault="00BA3021" w:rsidP="00320D9B">
      <w:r>
        <w:t>To remove ambiguity, the following could be clarified:</w:t>
      </w:r>
    </w:p>
    <w:p w14:paraId="4D4D1CD8" w14:textId="6C7528DA" w:rsidR="00320D9B" w:rsidRDefault="00320D9B" w:rsidP="00320D9B">
      <w:r w:rsidRPr="00CF2A53">
        <w:rPr>
          <w:b/>
          <w:bCs/>
        </w:rPr>
        <w:t>Proposal 2</w:t>
      </w:r>
      <w:r>
        <w:t xml:space="preserve">: When a logical DU is (re)configured with new UL BAP configuration via F1AP, </w:t>
      </w:r>
      <w:r w:rsidR="00BA3021">
        <w:t>the logical DU applies</w:t>
      </w:r>
      <w:r>
        <w:t xml:space="preserve"> the configuration </w:t>
      </w:r>
      <w:r w:rsidR="0025761B">
        <w:t>locally</w:t>
      </w:r>
      <w:r>
        <w:t xml:space="preserve"> </w:t>
      </w:r>
      <w:r w:rsidR="00BA3021">
        <w:t xml:space="preserve">and the configuration at </w:t>
      </w:r>
      <w:r>
        <w:t>other logical DU</w:t>
      </w:r>
      <w:r w:rsidR="00BA3021">
        <w:t>s is unchanged</w:t>
      </w:r>
      <w:r>
        <w:t>.</w:t>
      </w:r>
    </w:p>
    <w:p w14:paraId="531F4DB6" w14:textId="06CECC94" w:rsidR="003D4BB0" w:rsidRDefault="00FE42ED" w:rsidP="00CF2A53">
      <w:r>
        <w:t xml:space="preserve">So far, we have assumed IP connectivity between all the donor </w:t>
      </w:r>
      <w:r w:rsidR="00BF41F2">
        <w:t>CUs</w:t>
      </w:r>
      <w:r>
        <w:t xml:space="preserve">. However, a </w:t>
      </w:r>
      <w:r w:rsidR="00CF2A53">
        <w:t xml:space="preserve">sub-case of the one above is when CU1 and CU3 are in separate IP domains (no IP connectivity between them). Then </w:t>
      </w:r>
      <w:r w:rsidR="00F130A1">
        <w:t xml:space="preserve">the same default UL BAP configuration cannot be applied to logical </w:t>
      </w:r>
      <w:proofErr w:type="spellStart"/>
      <w:r w:rsidR="00E95C1C">
        <w:t>DU</w:t>
      </w:r>
      <w:r w:rsidR="00F130A1">
        <w:t>a</w:t>
      </w:r>
      <w:proofErr w:type="spellEnd"/>
      <w:r w:rsidR="00F130A1">
        <w:t xml:space="preserve"> and logical </w:t>
      </w:r>
      <w:proofErr w:type="spellStart"/>
      <w:r w:rsidR="00E95C1C">
        <w:t>DU</w:t>
      </w:r>
      <w:r w:rsidR="00F130A1">
        <w:t>b</w:t>
      </w:r>
      <w:proofErr w:type="spellEnd"/>
      <w:r w:rsidR="00F130A1">
        <w:t xml:space="preserve"> to route upstream non-F1-U traffic to </w:t>
      </w:r>
      <w:r w:rsidR="00C32CDC">
        <w:t xml:space="preserve">donor </w:t>
      </w:r>
      <w:r w:rsidR="00CF2A53">
        <w:t xml:space="preserve">CU1 and </w:t>
      </w:r>
      <w:r w:rsidR="00C32CDC">
        <w:t xml:space="preserve">donor </w:t>
      </w:r>
      <w:r w:rsidR="00CF2A53">
        <w:t>CU3</w:t>
      </w:r>
      <w:r w:rsidR="00F130A1">
        <w:t>, respectively.</w:t>
      </w:r>
      <w:r w:rsidR="00CF2A53">
        <w:t xml:space="preserve"> In our view, this scenario is likely an edge case</w:t>
      </w:r>
      <w:r w:rsidR="00F130A1">
        <w:t>/deployment issue</w:t>
      </w:r>
      <w:r w:rsidR="00CF2A53">
        <w:t xml:space="preserve"> since it seems unlikely that the F1-</w:t>
      </w:r>
      <w:r w:rsidR="00C32CDC">
        <w:t xml:space="preserve">terminating donors CU1 and CU3 </w:t>
      </w:r>
      <w:r w:rsidR="00CF2A53">
        <w:t xml:space="preserve">would be in separate IP domains while </w:t>
      </w:r>
      <w:r w:rsidR="00C32CDC">
        <w:t xml:space="preserve">both </w:t>
      </w:r>
      <w:r w:rsidR="00CF2A53">
        <w:t xml:space="preserve">still </w:t>
      </w:r>
      <w:r w:rsidR="00C911A1">
        <w:t>having</w:t>
      </w:r>
      <w:r w:rsidR="00CF2A53">
        <w:t xml:space="preserve"> IP </w:t>
      </w:r>
      <w:r w:rsidR="00C911A1">
        <w:t>connectivity to the non-F1-terminating</w:t>
      </w:r>
      <w:r w:rsidR="00CF2A53">
        <w:t xml:space="preserve"> donor</w:t>
      </w:r>
      <w:r w:rsidR="00C32CDC">
        <w:t xml:space="preserve"> CU2</w:t>
      </w:r>
      <w:r w:rsidR="00CF2A53">
        <w:t xml:space="preserve">. </w:t>
      </w:r>
      <w:r w:rsidR="003D4BB0">
        <w:t>Besides, it is noted that RAN3 already agreed not to address scenario</w:t>
      </w:r>
      <w:r w:rsidR="0080784E">
        <w:t>s</w:t>
      </w:r>
      <w:r w:rsidR="003D4BB0">
        <w:t xml:space="preserve"> where inter-donor IP connectivity is unavailable</w:t>
      </w:r>
      <w:r w:rsidR="0080784E">
        <w:t xml:space="preserve"> (see </w:t>
      </w:r>
      <w:hyperlink r:id="rId17" w:history="1">
        <w:r w:rsidR="00C56C81">
          <w:rPr>
            <w:rStyle w:val="Hyperlink"/>
          </w:rPr>
          <w:t>R3-231</w:t>
        </w:r>
        <w:r w:rsidR="00C56C81">
          <w:rPr>
            <w:rStyle w:val="Hyperlink"/>
          </w:rPr>
          <w:t>1</w:t>
        </w:r>
        <w:r w:rsidR="00C56C81">
          <w:rPr>
            <w:rStyle w:val="Hyperlink"/>
          </w:rPr>
          <w:t>01</w:t>
        </w:r>
      </w:hyperlink>
      <w:r w:rsidR="0080784E">
        <w:t>, section 13.2)</w:t>
      </w:r>
      <w:r w:rsidR="003D4BB0">
        <w:t>.</w:t>
      </w:r>
    </w:p>
    <w:p w14:paraId="468B0D0D" w14:textId="77777777" w:rsidR="00C911A1" w:rsidRDefault="00C911A1" w:rsidP="00CF2A53"/>
    <w:p w14:paraId="46C1D064" w14:textId="6EA60843" w:rsidR="0080784E" w:rsidRPr="0080784E" w:rsidRDefault="0080784E" w:rsidP="0080784E">
      <w:pPr>
        <w:widowControl w:val="0"/>
        <w:pBdr>
          <w:top w:val="single" w:sz="4" w:space="1" w:color="auto"/>
          <w:left w:val="single" w:sz="4" w:space="4" w:color="auto"/>
          <w:bottom w:val="single" w:sz="4" w:space="1" w:color="auto"/>
          <w:right w:val="single" w:sz="4" w:space="4" w:color="auto"/>
        </w:pBdr>
        <w:ind w:left="144" w:hanging="144"/>
        <w:rPr>
          <w:b/>
          <w:color w:val="008000"/>
        </w:rPr>
      </w:pPr>
      <w:r>
        <w:rPr>
          <w:b/>
          <w:bCs/>
          <w:color w:val="007434"/>
          <w:u w:val="single"/>
        </w:rPr>
        <w:lastRenderedPageBreak/>
        <w:t xml:space="preserve">Agreements: </w:t>
      </w:r>
      <w:r>
        <w:rPr>
          <w:b/>
          <w:color w:val="008000"/>
        </w:rPr>
        <w:t>RAN3 not to work on solutions addressing use cases where inter donor IP connectivity is not available.</w:t>
      </w:r>
    </w:p>
    <w:p w14:paraId="7286539E" w14:textId="6257360F" w:rsidR="00CF2A53" w:rsidRDefault="00CF2A53" w:rsidP="00CF2A53">
      <w:r>
        <w:t>This problem could be left to implementation</w:t>
      </w:r>
      <w:r w:rsidR="00F130A1">
        <w:t xml:space="preserve"> </w:t>
      </w:r>
      <w:r w:rsidR="00C32CDC">
        <w:t>since it depends on</w:t>
      </w:r>
      <w:r w:rsidR="00F130A1">
        <w:t xml:space="preserve"> proper configuration </w:t>
      </w:r>
      <w:r w:rsidR="00C32CDC">
        <w:t xml:space="preserve">at the </w:t>
      </w:r>
      <w:r w:rsidR="00F130A1">
        <w:t>CUs.</w:t>
      </w:r>
    </w:p>
    <w:p w14:paraId="3D43240C" w14:textId="2DBFDE8C" w:rsidR="00FE42ED" w:rsidRDefault="00FE42ED" w:rsidP="00293DC5">
      <w:r w:rsidRPr="00FE42ED">
        <w:rPr>
          <w:b/>
          <w:bCs/>
        </w:rPr>
        <w:t>Proposal 3</w:t>
      </w:r>
      <w:r>
        <w:t>: Scenarios where the F1-terminating donor-</w:t>
      </w:r>
      <w:r w:rsidR="00C32CDC">
        <w:t xml:space="preserve">CUs </w:t>
      </w:r>
      <w:r>
        <w:t xml:space="preserve">of the logical DUs are in separate IP domains </w:t>
      </w:r>
      <w:r w:rsidR="00C25B70">
        <w:t xml:space="preserve">may be considered </w:t>
      </w:r>
      <w:r>
        <w:t>deployment issue</w:t>
      </w:r>
      <w:r w:rsidR="0080784E">
        <w:t>s</w:t>
      </w:r>
      <w:r w:rsidR="00C32CDC">
        <w:t>, which</w:t>
      </w:r>
      <w:r w:rsidR="00C25B70">
        <w:t xml:space="preserve"> </w:t>
      </w:r>
      <w:r>
        <w:t>can be handled by implementation.</w:t>
      </w:r>
    </w:p>
    <w:p w14:paraId="69B7B8E6" w14:textId="69E07FC9" w:rsidR="009339CB" w:rsidRPr="006E13D1" w:rsidRDefault="005A13AB" w:rsidP="009339CB">
      <w:pPr>
        <w:pStyle w:val="Heading1"/>
      </w:pPr>
      <w:r>
        <w:t>3</w:t>
      </w:r>
      <w:r w:rsidR="009339CB" w:rsidRPr="006E13D1">
        <w:tab/>
      </w:r>
      <w:r w:rsidR="009339CB">
        <w:t>Conclusion</w:t>
      </w:r>
    </w:p>
    <w:p w14:paraId="6E24B0F4" w14:textId="19D6B560" w:rsidR="009339CB" w:rsidRPr="006E13D1" w:rsidRDefault="009339CB" w:rsidP="009339CB">
      <w:r>
        <w:t>This document has made the following observations:</w:t>
      </w:r>
    </w:p>
    <w:p w14:paraId="10A58112" w14:textId="5CE93FD6" w:rsidR="009339CB" w:rsidRDefault="009B31E3" w:rsidP="009339CB">
      <w:bookmarkStart w:id="0" w:name="_Hlk134699297"/>
      <w:r w:rsidRPr="009C1135">
        <w:rPr>
          <w:b/>
          <w:bCs/>
        </w:rPr>
        <w:t>Observation 1</w:t>
      </w:r>
      <w:r>
        <w:t>: It is not clear why a dedicated default UL BAP configuration (BH RLC and/or Routing ID) for each logical DU is necessary or helpful for speeding up/prioritizing F1 setup at the target logical DU during IAB node migration</w:t>
      </w:r>
      <w:r w:rsidR="009339CB">
        <w:t>.</w:t>
      </w:r>
    </w:p>
    <w:p w14:paraId="38554FE7" w14:textId="3A9C5326" w:rsidR="009339CB" w:rsidRDefault="009B31E3" w:rsidP="009339CB">
      <w:r w:rsidRPr="009C1135">
        <w:rPr>
          <w:b/>
          <w:bCs/>
        </w:rPr>
        <w:t xml:space="preserve">Observation </w:t>
      </w:r>
      <w:r>
        <w:rPr>
          <w:b/>
          <w:bCs/>
        </w:rPr>
        <w:t>2</w:t>
      </w:r>
      <w:r>
        <w:t>: It is not clear why a dedicated default UL BAP configuration (BH RLC and/or Routing ID) for each logical DU is necessary or helpful when there is an intermediate node between the mobile IAB node and the donor</w:t>
      </w:r>
      <w:r w:rsidR="000D2D6B">
        <w:t xml:space="preserve"> </w:t>
      </w:r>
      <w:r>
        <w:t xml:space="preserve">DU. </w:t>
      </w:r>
      <w:r w:rsidR="005A6D09">
        <w:t>Furthermore</w:t>
      </w:r>
      <w:r>
        <w:t>, optimizations related to intermediate IAB nodes are already de-prioritized in the WI</w:t>
      </w:r>
      <w:r w:rsidR="005A6D09">
        <w:t>D</w:t>
      </w:r>
      <w:r w:rsidR="009339CB">
        <w:t>.</w:t>
      </w:r>
    </w:p>
    <w:p w14:paraId="7E1699A6" w14:textId="75271377" w:rsidR="009B31E3" w:rsidRDefault="009B31E3" w:rsidP="009339CB">
      <w:r w:rsidRPr="00CF2A53">
        <w:rPr>
          <w:b/>
          <w:bCs/>
        </w:rPr>
        <w:t>Observation 3</w:t>
      </w:r>
      <w:r>
        <w:t>:</w:t>
      </w:r>
      <w:r w:rsidRPr="00FE42ED">
        <w:t xml:space="preserve"> </w:t>
      </w:r>
      <w:r>
        <w:t>It is not clear why a dedicated default UL BAP configuration (BH RLC and/or Routing ID) for each logical DU is necessary or helpful when the logical DUs F1-terminate at different donor CUs, which are also different from the non-F1-terminating CU, and no new UL BAP configuration has been provided to a logical DU by F1AP.</w:t>
      </w:r>
    </w:p>
    <w:p w14:paraId="3BE72BE2" w14:textId="77777777" w:rsidR="009339CB" w:rsidRPr="004F4540" w:rsidRDefault="009339CB" w:rsidP="009339CB">
      <w:pPr>
        <w:rPr>
          <w:bCs/>
        </w:rPr>
      </w:pPr>
      <w:r>
        <w:rPr>
          <w:bCs/>
        </w:rPr>
        <w:t>And proposed the following:</w:t>
      </w:r>
    </w:p>
    <w:p w14:paraId="2E8B4436" w14:textId="4D79E001" w:rsidR="009339CB" w:rsidRDefault="009339CB" w:rsidP="009339CB">
      <w:r>
        <w:rPr>
          <w:b/>
        </w:rPr>
        <w:t>Proposal</w:t>
      </w:r>
      <w:r w:rsidRPr="00B84DB2">
        <w:rPr>
          <w:b/>
        </w:rPr>
        <w:t xml:space="preserve"> 1</w:t>
      </w:r>
      <w:r w:rsidRPr="007A2E55">
        <w:rPr>
          <w:bCs/>
        </w:rPr>
        <w:t>:</w:t>
      </w:r>
      <w:r>
        <w:t xml:space="preserve"> </w:t>
      </w:r>
      <w:r w:rsidR="009B31E3">
        <w:t>When the mobile IAB-MT is (re)configured with a default UL BAP configuration, it applies the configuration to upstream non-F1-U traffic at both logical DUs</w:t>
      </w:r>
      <w:r>
        <w:t>.</w:t>
      </w:r>
    </w:p>
    <w:p w14:paraId="2FC48D8E" w14:textId="23B7CA3C" w:rsidR="009339CB" w:rsidRDefault="009339CB" w:rsidP="009339CB">
      <w:r>
        <w:rPr>
          <w:b/>
        </w:rPr>
        <w:t>Proposal</w:t>
      </w:r>
      <w:r w:rsidRPr="00B84DB2">
        <w:rPr>
          <w:b/>
        </w:rPr>
        <w:t xml:space="preserve"> </w:t>
      </w:r>
      <w:r>
        <w:rPr>
          <w:b/>
        </w:rPr>
        <w:t>2</w:t>
      </w:r>
      <w:r w:rsidRPr="007A2E55">
        <w:rPr>
          <w:bCs/>
        </w:rPr>
        <w:t>:</w:t>
      </w:r>
      <w:r>
        <w:t xml:space="preserve"> </w:t>
      </w:r>
      <w:r w:rsidR="009B31E3">
        <w:t>When a logical DU is (re)configured with new UL BAP configuration via F1AP, the logical DU applies the configuration locally and the configuration at other logical DUs is unchanged</w:t>
      </w:r>
      <w:r>
        <w:t>.</w:t>
      </w:r>
    </w:p>
    <w:p w14:paraId="35F222F4" w14:textId="011AAF63" w:rsidR="00080512" w:rsidRPr="00A209D6" w:rsidRDefault="009B31E3" w:rsidP="009339CB">
      <w:r w:rsidRPr="00FE42ED">
        <w:rPr>
          <w:b/>
          <w:bCs/>
        </w:rPr>
        <w:t>Proposal 3</w:t>
      </w:r>
      <w:r>
        <w:t xml:space="preserve">: </w:t>
      </w:r>
      <w:r w:rsidR="0080784E">
        <w:t>S</w:t>
      </w:r>
      <w:r>
        <w:t>cenario</w:t>
      </w:r>
      <w:r w:rsidR="0080784E">
        <w:t>s</w:t>
      </w:r>
      <w:r>
        <w:t xml:space="preserve"> where the F1-terminating donor-CUs of the logical DUs are in separate IP domains may be considered deployment issue</w:t>
      </w:r>
      <w:r w:rsidR="0080784E">
        <w:t>s</w:t>
      </w:r>
      <w:r>
        <w:t>, which can be handled by implementation.</w:t>
      </w:r>
      <w:bookmarkEnd w:id="0"/>
    </w:p>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CAA3" w14:textId="77777777" w:rsidR="00D95416" w:rsidRDefault="00D95416">
      <w:r>
        <w:separator/>
      </w:r>
    </w:p>
  </w:endnote>
  <w:endnote w:type="continuationSeparator" w:id="0">
    <w:p w14:paraId="087EB596" w14:textId="77777777" w:rsidR="00D95416" w:rsidRDefault="00D95416">
      <w:r>
        <w:continuationSeparator/>
      </w:r>
    </w:p>
  </w:endnote>
  <w:endnote w:type="continuationNotice" w:id="1">
    <w:p w14:paraId="7137AF18" w14:textId="77777777" w:rsidR="00D95416" w:rsidRDefault="00D95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E54EA" w14:textId="77777777" w:rsidR="00D95416" w:rsidRDefault="00D95416">
      <w:r>
        <w:separator/>
      </w:r>
    </w:p>
  </w:footnote>
  <w:footnote w:type="continuationSeparator" w:id="0">
    <w:p w14:paraId="3366C7CB" w14:textId="77777777" w:rsidR="00D95416" w:rsidRDefault="00D95416">
      <w:r>
        <w:continuationSeparator/>
      </w:r>
    </w:p>
  </w:footnote>
  <w:footnote w:type="continuationNotice" w:id="1">
    <w:p w14:paraId="19B9D30F" w14:textId="77777777" w:rsidR="00D95416" w:rsidRDefault="00D95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17278A"/>
    <w:multiLevelType w:val="hybridMultilevel"/>
    <w:tmpl w:val="11F8B91E"/>
    <w:lvl w:ilvl="0" w:tplc="E25EC200">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0BB5821"/>
    <w:multiLevelType w:val="hybridMultilevel"/>
    <w:tmpl w:val="40685DB4"/>
    <w:lvl w:ilvl="0" w:tplc="4ED254B6">
      <w:start w:val="3"/>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2AA6B4B"/>
    <w:multiLevelType w:val="hybridMultilevel"/>
    <w:tmpl w:val="2DC8CB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8908B0"/>
    <w:multiLevelType w:val="hybridMultilevel"/>
    <w:tmpl w:val="D55CDE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1398477896">
    <w:abstractNumId w:val="10"/>
  </w:num>
  <w:num w:numId="9" w16cid:durableId="1355620665">
    <w:abstractNumId w:val="4"/>
  </w:num>
  <w:num w:numId="10" w16cid:durableId="1258058410">
    <w:abstractNumId w:val="8"/>
  </w:num>
  <w:num w:numId="11" w16cid:durableId="1921526635">
    <w:abstractNumId w:val="7"/>
  </w:num>
  <w:num w:numId="12" w16cid:durableId="16305470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609C"/>
    <w:rsid w:val="00033397"/>
    <w:rsid w:val="00040095"/>
    <w:rsid w:val="00065268"/>
    <w:rsid w:val="00073C9C"/>
    <w:rsid w:val="00076412"/>
    <w:rsid w:val="00080512"/>
    <w:rsid w:val="00080572"/>
    <w:rsid w:val="00090468"/>
    <w:rsid w:val="00094568"/>
    <w:rsid w:val="000B7BCF"/>
    <w:rsid w:val="000C522B"/>
    <w:rsid w:val="000D2D6B"/>
    <w:rsid w:val="000D58AB"/>
    <w:rsid w:val="00112F1A"/>
    <w:rsid w:val="00145075"/>
    <w:rsid w:val="001545F0"/>
    <w:rsid w:val="001741A0"/>
    <w:rsid w:val="00175FA0"/>
    <w:rsid w:val="00194CD0"/>
    <w:rsid w:val="001B49C9"/>
    <w:rsid w:val="001B51A1"/>
    <w:rsid w:val="001C23F4"/>
    <w:rsid w:val="001C4F79"/>
    <w:rsid w:val="001D0887"/>
    <w:rsid w:val="001F168B"/>
    <w:rsid w:val="001F7831"/>
    <w:rsid w:val="00204045"/>
    <w:rsid w:val="0020712B"/>
    <w:rsid w:val="0022606D"/>
    <w:rsid w:val="00231728"/>
    <w:rsid w:val="00244A05"/>
    <w:rsid w:val="00250404"/>
    <w:rsid w:val="00256B74"/>
    <w:rsid w:val="0025761B"/>
    <w:rsid w:val="002610D8"/>
    <w:rsid w:val="002747EC"/>
    <w:rsid w:val="002855BF"/>
    <w:rsid w:val="00293DC5"/>
    <w:rsid w:val="002B2988"/>
    <w:rsid w:val="002F0D22"/>
    <w:rsid w:val="00311B17"/>
    <w:rsid w:val="003172DC"/>
    <w:rsid w:val="00320D9B"/>
    <w:rsid w:val="00325AE3"/>
    <w:rsid w:val="00326069"/>
    <w:rsid w:val="0033041C"/>
    <w:rsid w:val="0033093F"/>
    <w:rsid w:val="0035289E"/>
    <w:rsid w:val="0035462D"/>
    <w:rsid w:val="0036459E"/>
    <w:rsid w:val="00364B41"/>
    <w:rsid w:val="0037604C"/>
    <w:rsid w:val="00383096"/>
    <w:rsid w:val="00386B39"/>
    <w:rsid w:val="00390BDB"/>
    <w:rsid w:val="00390E08"/>
    <w:rsid w:val="0039346C"/>
    <w:rsid w:val="003A41EF"/>
    <w:rsid w:val="003B40AD"/>
    <w:rsid w:val="003C4E37"/>
    <w:rsid w:val="003D0FD0"/>
    <w:rsid w:val="003D4BB0"/>
    <w:rsid w:val="003E16BE"/>
    <w:rsid w:val="003F4E28"/>
    <w:rsid w:val="004006E8"/>
    <w:rsid w:val="00401855"/>
    <w:rsid w:val="0042730E"/>
    <w:rsid w:val="00446C3A"/>
    <w:rsid w:val="00456449"/>
    <w:rsid w:val="00465587"/>
    <w:rsid w:val="00477455"/>
    <w:rsid w:val="004A1A0B"/>
    <w:rsid w:val="004A1F7B"/>
    <w:rsid w:val="004C44D2"/>
    <w:rsid w:val="004D3578"/>
    <w:rsid w:val="004D380D"/>
    <w:rsid w:val="004E213A"/>
    <w:rsid w:val="004F4540"/>
    <w:rsid w:val="004F73A7"/>
    <w:rsid w:val="00503171"/>
    <w:rsid w:val="00506C28"/>
    <w:rsid w:val="00534DA0"/>
    <w:rsid w:val="00537541"/>
    <w:rsid w:val="00543E6C"/>
    <w:rsid w:val="0056205F"/>
    <w:rsid w:val="00565087"/>
    <w:rsid w:val="0056573F"/>
    <w:rsid w:val="00571279"/>
    <w:rsid w:val="00573B5E"/>
    <w:rsid w:val="00574515"/>
    <w:rsid w:val="005A13AB"/>
    <w:rsid w:val="005A49C6"/>
    <w:rsid w:val="005A6D09"/>
    <w:rsid w:val="005B68AF"/>
    <w:rsid w:val="005C766E"/>
    <w:rsid w:val="005C7CD5"/>
    <w:rsid w:val="005D227D"/>
    <w:rsid w:val="00611566"/>
    <w:rsid w:val="00641661"/>
    <w:rsid w:val="00646D99"/>
    <w:rsid w:val="00656910"/>
    <w:rsid w:val="006574C0"/>
    <w:rsid w:val="006727F2"/>
    <w:rsid w:val="00696821"/>
    <w:rsid w:val="006C66D8"/>
    <w:rsid w:val="006D1E24"/>
    <w:rsid w:val="006D35DE"/>
    <w:rsid w:val="006E1057"/>
    <w:rsid w:val="006E1417"/>
    <w:rsid w:val="006F6A2C"/>
    <w:rsid w:val="007069DC"/>
    <w:rsid w:val="00710201"/>
    <w:rsid w:val="00717E78"/>
    <w:rsid w:val="0072073A"/>
    <w:rsid w:val="00723637"/>
    <w:rsid w:val="00732CCC"/>
    <w:rsid w:val="007342B5"/>
    <w:rsid w:val="00734A5B"/>
    <w:rsid w:val="007426CD"/>
    <w:rsid w:val="00744E76"/>
    <w:rsid w:val="00757D40"/>
    <w:rsid w:val="007662B5"/>
    <w:rsid w:val="00781F0F"/>
    <w:rsid w:val="0078727C"/>
    <w:rsid w:val="0079049D"/>
    <w:rsid w:val="00793DC5"/>
    <w:rsid w:val="00796823"/>
    <w:rsid w:val="007A2E55"/>
    <w:rsid w:val="007B18D8"/>
    <w:rsid w:val="007B6F62"/>
    <w:rsid w:val="007C095F"/>
    <w:rsid w:val="007C2DD0"/>
    <w:rsid w:val="007F2E08"/>
    <w:rsid w:val="008024FA"/>
    <w:rsid w:val="008028A4"/>
    <w:rsid w:val="0080784E"/>
    <w:rsid w:val="00813245"/>
    <w:rsid w:val="008300D6"/>
    <w:rsid w:val="00833F52"/>
    <w:rsid w:val="00840DE0"/>
    <w:rsid w:val="00844BED"/>
    <w:rsid w:val="00847CD0"/>
    <w:rsid w:val="00850ADC"/>
    <w:rsid w:val="008607A8"/>
    <w:rsid w:val="0086354A"/>
    <w:rsid w:val="008768CA"/>
    <w:rsid w:val="00877EF9"/>
    <w:rsid w:val="00880559"/>
    <w:rsid w:val="00880A79"/>
    <w:rsid w:val="00884361"/>
    <w:rsid w:val="008A7E73"/>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A57CD"/>
    <w:rsid w:val="009B07CD"/>
    <w:rsid w:val="009B31E3"/>
    <w:rsid w:val="009C1135"/>
    <w:rsid w:val="009C19E9"/>
    <w:rsid w:val="009D74A6"/>
    <w:rsid w:val="009E0E87"/>
    <w:rsid w:val="00A02CAE"/>
    <w:rsid w:val="00A10F02"/>
    <w:rsid w:val="00A17176"/>
    <w:rsid w:val="00A204CA"/>
    <w:rsid w:val="00A209D6"/>
    <w:rsid w:val="00A22738"/>
    <w:rsid w:val="00A33A2E"/>
    <w:rsid w:val="00A36F5F"/>
    <w:rsid w:val="00A430EC"/>
    <w:rsid w:val="00A470AA"/>
    <w:rsid w:val="00A53724"/>
    <w:rsid w:val="00A54B2B"/>
    <w:rsid w:val="00A703B6"/>
    <w:rsid w:val="00A82346"/>
    <w:rsid w:val="00A9671C"/>
    <w:rsid w:val="00AA1553"/>
    <w:rsid w:val="00AC0BDA"/>
    <w:rsid w:val="00AD610D"/>
    <w:rsid w:val="00AD6A05"/>
    <w:rsid w:val="00B05380"/>
    <w:rsid w:val="00B05962"/>
    <w:rsid w:val="00B15449"/>
    <w:rsid w:val="00B16C2F"/>
    <w:rsid w:val="00B27303"/>
    <w:rsid w:val="00B309AB"/>
    <w:rsid w:val="00B47FD1"/>
    <w:rsid w:val="00B516BB"/>
    <w:rsid w:val="00B67F07"/>
    <w:rsid w:val="00B7538C"/>
    <w:rsid w:val="00B84DB2"/>
    <w:rsid w:val="00B87E24"/>
    <w:rsid w:val="00BA3021"/>
    <w:rsid w:val="00BC3555"/>
    <w:rsid w:val="00BD3E80"/>
    <w:rsid w:val="00BD7819"/>
    <w:rsid w:val="00BF41F2"/>
    <w:rsid w:val="00C12B51"/>
    <w:rsid w:val="00C24650"/>
    <w:rsid w:val="00C25465"/>
    <w:rsid w:val="00C25B70"/>
    <w:rsid w:val="00C32CDC"/>
    <w:rsid w:val="00C33079"/>
    <w:rsid w:val="00C55A12"/>
    <w:rsid w:val="00C56C81"/>
    <w:rsid w:val="00C61138"/>
    <w:rsid w:val="00C626CD"/>
    <w:rsid w:val="00C64C19"/>
    <w:rsid w:val="00C6553E"/>
    <w:rsid w:val="00C738FD"/>
    <w:rsid w:val="00C83A13"/>
    <w:rsid w:val="00C86F10"/>
    <w:rsid w:val="00C87C6D"/>
    <w:rsid w:val="00C9068C"/>
    <w:rsid w:val="00C911A1"/>
    <w:rsid w:val="00C92967"/>
    <w:rsid w:val="00CA3D0C"/>
    <w:rsid w:val="00CA654B"/>
    <w:rsid w:val="00CB72B8"/>
    <w:rsid w:val="00CD0BA8"/>
    <w:rsid w:val="00CD2D32"/>
    <w:rsid w:val="00CD4C7B"/>
    <w:rsid w:val="00CD58FE"/>
    <w:rsid w:val="00CF2A53"/>
    <w:rsid w:val="00D33BE3"/>
    <w:rsid w:val="00D375BC"/>
    <w:rsid w:val="00D3792D"/>
    <w:rsid w:val="00D54820"/>
    <w:rsid w:val="00D55E47"/>
    <w:rsid w:val="00D62E19"/>
    <w:rsid w:val="00D6606E"/>
    <w:rsid w:val="00D67CD1"/>
    <w:rsid w:val="00D738D6"/>
    <w:rsid w:val="00D80795"/>
    <w:rsid w:val="00D820B2"/>
    <w:rsid w:val="00D854BE"/>
    <w:rsid w:val="00D87E00"/>
    <w:rsid w:val="00D9134D"/>
    <w:rsid w:val="00D95416"/>
    <w:rsid w:val="00D96D11"/>
    <w:rsid w:val="00DA7A03"/>
    <w:rsid w:val="00DB0BCA"/>
    <w:rsid w:val="00DB0DB8"/>
    <w:rsid w:val="00DB1818"/>
    <w:rsid w:val="00DC309B"/>
    <w:rsid w:val="00DC4DA2"/>
    <w:rsid w:val="00DC5261"/>
    <w:rsid w:val="00DE25D2"/>
    <w:rsid w:val="00DF7C20"/>
    <w:rsid w:val="00E038FB"/>
    <w:rsid w:val="00E2409C"/>
    <w:rsid w:val="00E46C08"/>
    <w:rsid w:val="00E471CF"/>
    <w:rsid w:val="00E62835"/>
    <w:rsid w:val="00E6480E"/>
    <w:rsid w:val="00E71DA8"/>
    <w:rsid w:val="00E77645"/>
    <w:rsid w:val="00E83697"/>
    <w:rsid w:val="00E859B6"/>
    <w:rsid w:val="00E95C1C"/>
    <w:rsid w:val="00EA474D"/>
    <w:rsid w:val="00EA4EC1"/>
    <w:rsid w:val="00EA66C9"/>
    <w:rsid w:val="00EB5D32"/>
    <w:rsid w:val="00EC4A25"/>
    <w:rsid w:val="00EF612C"/>
    <w:rsid w:val="00F025A2"/>
    <w:rsid w:val="00F026ED"/>
    <w:rsid w:val="00F036E9"/>
    <w:rsid w:val="00F07388"/>
    <w:rsid w:val="00F130A1"/>
    <w:rsid w:val="00F2026E"/>
    <w:rsid w:val="00F2210A"/>
    <w:rsid w:val="00F31372"/>
    <w:rsid w:val="00F37743"/>
    <w:rsid w:val="00F41ACE"/>
    <w:rsid w:val="00F54A3D"/>
    <w:rsid w:val="00F54CB0"/>
    <w:rsid w:val="00F579CD"/>
    <w:rsid w:val="00F653B8"/>
    <w:rsid w:val="00F71B89"/>
    <w:rsid w:val="00F7353C"/>
    <w:rsid w:val="00F76F8F"/>
    <w:rsid w:val="00F87257"/>
    <w:rsid w:val="00F941DF"/>
    <w:rsid w:val="00FA1266"/>
    <w:rsid w:val="00FA1283"/>
    <w:rsid w:val="00FB36FA"/>
    <w:rsid w:val="00FC1192"/>
    <w:rsid w:val="00FE106D"/>
    <w:rsid w:val="00FE251B"/>
    <w:rsid w:val="00FE42ED"/>
    <w:rsid w:val="00FF7676"/>
    <w:rsid w:val="0BF979A6"/>
    <w:rsid w:val="12032CB2"/>
    <w:rsid w:val="14D2F713"/>
    <w:rsid w:val="27E184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qFormat/>
    <w:rsid w:val="0042730E"/>
    <w:rPr>
      <w:rFonts w:eastAsia="SimSun"/>
      <w:sz w:val="16"/>
      <w:lang w:val="en-US" w:eastAsia="zh-CN" w:bidi="ar-SA"/>
    </w:rPr>
  </w:style>
  <w:style w:type="paragraph" w:styleId="CommentText">
    <w:name w:val="annotation text"/>
    <w:basedOn w:val="Normal"/>
    <w:link w:val="CommentTextChar"/>
    <w:qFormat/>
    <w:rsid w:val="0042730E"/>
  </w:style>
  <w:style w:type="character" w:customStyle="1" w:styleId="CommentTextChar">
    <w:name w:val="Comment Text Char"/>
    <w:basedOn w:val="DefaultParagraphFont"/>
    <w:link w:val="CommentText"/>
    <w:qFormat/>
    <w:rsid w:val="0042730E"/>
    <w:rPr>
      <w:lang w:eastAsia="en-US"/>
    </w:rPr>
  </w:style>
  <w:style w:type="table" w:styleId="TableGrid">
    <w:name w:val="Table Grid"/>
    <w:basedOn w:val="TableNormal"/>
    <w:qFormat/>
    <w:rsid w:val="00DB0B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Normal"/>
    <w:link w:val="ListParagraphChar"/>
    <w:uiPriority w:val="34"/>
    <w:qFormat/>
    <w:rsid w:val="00080572"/>
    <w:pPr>
      <w:spacing w:after="100" w:afterAutospacing="1" w:line="300" w:lineRule="auto"/>
      <w:ind w:leftChars="400" w:left="1120" w:hanging="720"/>
      <w:jc w:val="both"/>
    </w:pPr>
    <w:rPr>
      <w:rFonts w:ascii="Times" w:eastAsia="Batang" w:hAnsi="Times"/>
      <w:sz w:val="22"/>
      <w:szCs w:val="24"/>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80572"/>
    <w:rPr>
      <w:rFonts w:ascii="Times" w:eastAsia="Batang" w:hAnsi="Times"/>
      <w:sz w:val="22"/>
      <w:szCs w:val="24"/>
      <w:lang w:eastAsia="zh-CN"/>
    </w:rPr>
  </w:style>
  <w:style w:type="paragraph" w:styleId="CommentSubject">
    <w:name w:val="annotation subject"/>
    <w:basedOn w:val="CommentText"/>
    <w:next w:val="CommentText"/>
    <w:link w:val="CommentSubjectChar"/>
    <w:rsid w:val="00D820B2"/>
    <w:rPr>
      <w:b/>
      <w:bCs/>
    </w:rPr>
  </w:style>
  <w:style w:type="character" w:customStyle="1" w:styleId="CommentSubjectChar">
    <w:name w:val="Comment Subject Char"/>
    <w:basedOn w:val="CommentTextChar"/>
    <w:link w:val="CommentSubject"/>
    <w:rsid w:val="00D820B2"/>
    <w:rPr>
      <w:b/>
      <w:bCs/>
      <w:lang w:eastAsia="en-US"/>
    </w:rPr>
  </w:style>
  <w:style w:type="paragraph" w:styleId="Revision">
    <w:name w:val="Revision"/>
    <w:hidden/>
    <w:uiPriority w:val="99"/>
    <w:semiHidden/>
    <w:rsid w:val="0056205F"/>
    <w:rPr>
      <w:lang w:eastAsia="en-US"/>
    </w:rPr>
  </w:style>
  <w:style w:type="character" w:styleId="FollowedHyperlink">
    <w:name w:val="FollowedHyperlink"/>
    <w:basedOn w:val="DefaultParagraphFont"/>
    <w:rsid w:val="008078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05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750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WG2_RL2/TSGR2_121/Docs/R2-2300360.zip" TargetMode="External"/><Relationship Id="rId17" Type="http://schemas.openxmlformats.org/officeDocument/2006/relationships/hyperlink" Target="https://www.3gpp.org/ftp/tsg_ran/WG3_IU/TSGR3_119bis-e/Docs/R3-231101.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SGR_97e/Docs/RP-222671.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5AIRPNAIUNRU-859666464-14177</_dlc_DocId>
    <_dlc_DocIdUrl xmlns="71c5aaf6-e6ce-465b-b873-5148d2a4c105">
      <Url>https://nokia.sharepoint.com/sites/c5g/e2earch/_layouts/15/DocIdRedir.aspx?ID=5AIRPNAIUNRU-859666464-14177</Url>
      <Description>5AIRPNAIUNRU-859666464-14177</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83f22d2f-d16e-4be6-ad4f-29fa0b067c3c"/>
    <ds:schemaRef ds:uri="3b34c8f0-1ef5-4d1e-bb66-517ce7fe7356"/>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 ds:uri="a3840f4f-04be-43d1-b2ef-6ff1382503c7"/>
    <ds:schemaRef ds:uri="71c5aaf6-e6ce-465b-b873-5148d2a4c10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5</Pages>
  <Words>1613</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12</cp:revision>
  <dcterms:created xsi:type="dcterms:W3CDTF">2023-03-30T21:41:00Z</dcterms:created>
  <dcterms:modified xsi:type="dcterms:W3CDTF">2023-05-11T16:11:00Z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97a12ba3-e363-4f3f-a778-5f863cea36c9</vt:lpwstr>
  </property>
</Properties>
</file>